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8C85" w14:textId="3464D324" w:rsidR="00BD23E4" w:rsidRPr="00082AED" w:rsidRDefault="00C638CC" w:rsidP="00150C8D">
      <w:pPr>
        <w:jc w:val="center"/>
        <w:rPr>
          <w:b/>
          <w:color w:val="000000" w:themeColor="text1"/>
          <w:shd w:val="clear" w:color="auto" w:fill="FFFFFF"/>
        </w:rPr>
      </w:pPr>
      <w:r w:rsidRPr="00082AED">
        <w:rPr>
          <w:b/>
          <w:color w:val="000000" w:themeColor="text1"/>
        </w:rPr>
        <w:t xml:space="preserve">The Amish Privy Case: </w:t>
      </w:r>
      <w:r w:rsidRPr="00082AED">
        <w:rPr>
          <w:b/>
          <w:iCs/>
          <w:color w:val="000000" w:themeColor="text1"/>
          <w:bdr w:val="none" w:sz="0" w:space="0" w:color="auto" w:frame="1"/>
        </w:rPr>
        <w:t>Sugar Grove Twp. v. Byler</w:t>
      </w:r>
    </w:p>
    <w:p w14:paraId="24A212EA" w14:textId="141886C9" w:rsidR="00545238" w:rsidRPr="00082AED" w:rsidRDefault="00C638CC" w:rsidP="00BD23E4">
      <w:pPr>
        <w:jc w:val="center"/>
        <w:rPr>
          <w:color w:val="000000" w:themeColor="text1"/>
        </w:rPr>
      </w:pPr>
      <w:r w:rsidRPr="00082AED">
        <w:rPr>
          <w:color w:val="000000" w:themeColor="text1"/>
          <w:shd w:val="clear" w:color="auto" w:fill="FFFFFF"/>
        </w:rPr>
        <w:t>191 A.3d 84 (Pa. Commw. Ct. 2018)</w:t>
      </w:r>
    </w:p>
    <w:p w14:paraId="094D8F8A" w14:textId="77777777" w:rsidR="00CF59FD" w:rsidRPr="00082AED" w:rsidRDefault="00CF59FD" w:rsidP="00150C8D">
      <w:pPr>
        <w:jc w:val="center"/>
        <w:rPr>
          <w:color w:val="000000" w:themeColor="text1"/>
        </w:rPr>
      </w:pPr>
    </w:p>
    <w:p w14:paraId="289B2B8A" w14:textId="04BAC6BD" w:rsidR="00A12DB0" w:rsidRPr="00082AED" w:rsidRDefault="008F1B88" w:rsidP="0040558E">
      <w:pPr>
        <w:spacing w:line="480" w:lineRule="auto"/>
        <w:jc w:val="center"/>
        <w:rPr>
          <w:i/>
          <w:color w:val="000000" w:themeColor="text1"/>
        </w:rPr>
      </w:pPr>
      <w:r w:rsidRPr="00082AED">
        <w:rPr>
          <w:i/>
          <w:color w:val="000000" w:themeColor="text1"/>
        </w:rPr>
        <w:t xml:space="preserve">Mary </w:t>
      </w:r>
      <w:r w:rsidR="00DD3E8D" w:rsidRPr="00082AED">
        <w:rPr>
          <w:i/>
          <w:color w:val="000000" w:themeColor="text1"/>
        </w:rPr>
        <w:t>B</w:t>
      </w:r>
      <w:r w:rsidRPr="00082AED">
        <w:rPr>
          <w:i/>
          <w:color w:val="000000" w:themeColor="text1"/>
        </w:rPr>
        <w:t>eth Kuznik</w:t>
      </w:r>
    </w:p>
    <w:p w14:paraId="1068B360" w14:textId="5A958821" w:rsidR="004074BB" w:rsidRPr="00082AED" w:rsidRDefault="004074BB" w:rsidP="0040558E">
      <w:pPr>
        <w:spacing w:line="480" w:lineRule="auto"/>
        <w:jc w:val="center"/>
        <w:rPr>
          <w:b/>
          <w:color w:val="000000" w:themeColor="text1"/>
        </w:rPr>
      </w:pPr>
    </w:p>
    <w:p w14:paraId="35943015" w14:textId="5A3364CE" w:rsidR="004074BB" w:rsidRPr="00082AED" w:rsidRDefault="004074BB" w:rsidP="0040558E">
      <w:pPr>
        <w:spacing w:line="480" w:lineRule="auto"/>
        <w:jc w:val="center"/>
        <w:rPr>
          <w:b/>
          <w:color w:val="000000" w:themeColor="text1"/>
        </w:rPr>
      </w:pPr>
      <w:r w:rsidRPr="00082AED">
        <w:rPr>
          <w:b/>
          <w:color w:val="000000" w:themeColor="text1"/>
        </w:rPr>
        <w:t>Table of Contents</w:t>
      </w:r>
    </w:p>
    <w:p w14:paraId="5A98B840" w14:textId="549CEDDD" w:rsidR="004074BB" w:rsidRPr="000A3081" w:rsidRDefault="004074BB" w:rsidP="000A3081">
      <w:pPr>
        <w:pStyle w:val="ListParagraph"/>
        <w:numPr>
          <w:ilvl w:val="0"/>
          <w:numId w:val="5"/>
        </w:numPr>
        <w:spacing w:line="480" w:lineRule="auto"/>
        <w:ind w:left="1620"/>
        <w:jc w:val="both"/>
        <w:rPr>
          <w:color w:val="000000" w:themeColor="text1"/>
        </w:rPr>
      </w:pPr>
      <w:r w:rsidRPr="000A3081">
        <w:rPr>
          <w:color w:val="000000" w:themeColor="text1"/>
        </w:rPr>
        <w:t>Introduction …</w:t>
      </w:r>
      <w:r w:rsidR="00FB6B58" w:rsidRPr="000A3081">
        <w:rPr>
          <w:color w:val="000000" w:themeColor="text1"/>
        </w:rPr>
        <w:t>…………………………………………………</w:t>
      </w:r>
      <w:r w:rsidRPr="000A3081">
        <w:rPr>
          <w:color w:val="000000" w:themeColor="text1"/>
        </w:rPr>
        <w:t>.. 2</w:t>
      </w:r>
    </w:p>
    <w:p w14:paraId="7CD84530" w14:textId="14B14956" w:rsidR="004074BB" w:rsidRPr="000A3081" w:rsidRDefault="004074BB" w:rsidP="000A3081">
      <w:pPr>
        <w:pStyle w:val="ListParagraph"/>
        <w:numPr>
          <w:ilvl w:val="0"/>
          <w:numId w:val="5"/>
        </w:numPr>
        <w:spacing w:line="480" w:lineRule="auto"/>
        <w:ind w:left="1620"/>
        <w:jc w:val="both"/>
        <w:rPr>
          <w:color w:val="000000" w:themeColor="text1"/>
        </w:rPr>
      </w:pPr>
      <w:r w:rsidRPr="000A3081">
        <w:rPr>
          <w:color w:val="000000" w:themeColor="text1"/>
        </w:rPr>
        <w:t>Reporting ………………………………………………..……… 3</w:t>
      </w:r>
    </w:p>
    <w:p w14:paraId="49DB3072" w14:textId="7A1DC82F" w:rsidR="009E4FFF" w:rsidRPr="000A3081" w:rsidRDefault="009E4FFF" w:rsidP="000A3081">
      <w:pPr>
        <w:pStyle w:val="ListParagraph"/>
        <w:numPr>
          <w:ilvl w:val="0"/>
          <w:numId w:val="5"/>
        </w:numPr>
        <w:spacing w:line="480" w:lineRule="auto"/>
        <w:ind w:left="1620"/>
        <w:jc w:val="both"/>
        <w:rPr>
          <w:color w:val="000000" w:themeColor="text1"/>
        </w:rPr>
      </w:pPr>
      <w:r w:rsidRPr="000A3081">
        <w:rPr>
          <w:color w:val="000000" w:themeColor="text1"/>
        </w:rPr>
        <w:t>History ………………………………………..…………..…</w:t>
      </w:r>
      <w:r w:rsidR="00723757" w:rsidRPr="000A3081">
        <w:rPr>
          <w:color w:val="000000" w:themeColor="text1"/>
        </w:rPr>
        <w:t>..</w:t>
      </w:r>
      <w:r w:rsidRPr="000A3081">
        <w:rPr>
          <w:color w:val="000000" w:themeColor="text1"/>
        </w:rPr>
        <w:t>..</w:t>
      </w:r>
      <w:r w:rsidR="00723757" w:rsidRPr="000A3081">
        <w:rPr>
          <w:color w:val="000000" w:themeColor="text1"/>
        </w:rPr>
        <w:t xml:space="preserve"> 10</w:t>
      </w:r>
    </w:p>
    <w:p w14:paraId="4EDE4A28" w14:textId="28DC2322" w:rsidR="004074BB" w:rsidRPr="000A3081" w:rsidRDefault="009E4FFF" w:rsidP="000A3081">
      <w:pPr>
        <w:pStyle w:val="ListParagraph"/>
        <w:numPr>
          <w:ilvl w:val="0"/>
          <w:numId w:val="5"/>
        </w:numPr>
        <w:spacing w:line="480" w:lineRule="auto"/>
        <w:ind w:left="1620"/>
        <w:jc w:val="both"/>
        <w:rPr>
          <w:color w:val="000000" w:themeColor="text1"/>
        </w:rPr>
      </w:pPr>
      <w:r w:rsidRPr="000A3081">
        <w:rPr>
          <w:color w:val="000000" w:themeColor="text1"/>
        </w:rPr>
        <w:t>Analysis</w:t>
      </w:r>
      <w:r w:rsidR="004074BB" w:rsidRPr="000A3081">
        <w:rPr>
          <w:color w:val="000000" w:themeColor="text1"/>
        </w:rPr>
        <w:t xml:space="preserve"> …………………………………………</w:t>
      </w:r>
      <w:r w:rsidRPr="000A3081">
        <w:rPr>
          <w:color w:val="000000" w:themeColor="text1"/>
        </w:rPr>
        <w:t>..</w:t>
      </w:r>
      <w:r w:rsidR="004074BB" w:rsidRPr="000A3081">
        <w:rPr>
          <w:color w:val="000000" w:themeColor="text1"/>
        </w:rPr>
        <w:t>……..…….. 16</w:t>
      </w:r>
    </w:p>
    <w:p w14:paraId="3DB92087" w14:textId="01102FB9" w:rsidR="009E4FFF" w:rsidRPr="000A3081" w:rsidRDefault="009E4FFF" w:rsidP="000A3081">
      <w:pPr>
        <w:pStyle w:val="ListParagraph"/>
        <w:numPr>
          <w:ilvl w:val="0"/>
          <w:numId w:val="5"/>
        </w:numPr>
        <w:spacing w:line="480" w:lineRule="auto"/>
        <w:ind w:left="1620"/>
        <w:jc w:val="both"/>
        <w:rPr>
          <w:color w:val="000000" w:themeColor="text1"/>
        </w:rPr>
      </w:pPr>
      <w:r w:rsidRPr="000A3081">
        <w:rPr>
          <w:color w:val="000000" w:themeColor="text1"/>
        </w:rPr>
        <w:t>Conclusion …………………………………………………….. 2</w:t>
      </w:r>
      <w:r w:rsidR="00723757" w:rsidRPr="000A3081">
        <w:rPr>
          <w:color w:val="000000" w:themeColor="text1"/>
        </w:rPr>
        <w:t>0</w:t>
      </w:r>
    </w:p>
    <w:p w14:paraId="01BAD895" w14:textId="781386CB" w:rsidR="004074BB" w:rsidRPr="00082AED" w:rsidRDefault="004074BB" w:rsidP="004074BB">
      <w:pPr>
        <w:ind w:left="720" w:firstLine="720"/>
        <w:jc w:val="both"/>
        <w:rPr>
          <w:color w:val="000000" w:themeColor="text1"/>
        </w:rPr>
      </w:pPr>
    </w:p>
    <w:p w14:paraId="1B143D43" w14:textId="727F02FC" w:rsidR="004074BB" w:rsidRPr="00082AED" w:rsidRDefault="004074BB" w:rsidP="004074BB">
      <w:pPr>
        <w:rPr>
          <w:color w:val="000000" w:themeColor="text1"/>
        </w:rPr>
      </w:pPr>
      <w:r w:rsidRPr="00082AED">
        <w:rPr>
          <w:color w:val="000000" w:themeColor="text1"/>
        </w:rPr>
        <w:br w:type="page"/>
      </w:r>
    </w:p>
    <w:p w14:paraId="04FFA617" w14:textId="3EADC4D7" w:rsidR="00C638CC" w:rsidRPr="00082AED" w:rsidRDefault="00C638CC" w:rsidP="0008415E">
      <w:pPr>
        <w:pStyle w:val="ListParagraph"/>
        <w:numPr>
          <w:ilvl w:val="0"/>
          <w:numId w:val="4"/>
        </w:numPr>
        <w:spacing w:line="480" w:lineRule="auto"/>
        <w:ind w:left="0"/>
        <w:jc w:val="center"/>
        <w:rPr>
          <w:b/>
          <w:color w:val="000000" w:themeColor="text1"/>
        </w:rPr>
      </w:pPr>
      <w:r w:rsidRPr="00082AED">
        <w:rPr>
          <w:b/>
          <w:color w:val="000000" w:themeColor="text1"/>
        </w:rPr>
        <w:lastRenderedPageBreak/>
        <w:t>Introduction</w:t>
      </w:r>
    </w:p>
    <w:p w14:paraId="11F3DF7A" w14:textId="37257E64" w:rsidR="00615E01" w:rsidRPr="00082AED" w:rsidRDefault="00E07826" w:rsidP="00150C8D">
      <w:pPr>
        <w:spacing w:line="480" w:lineRule="auto"/>
        <w:ind w:firstLine="360"/>
        <w:rPr>
          <w:color w:val="000000" w:themeColor="text1"/>
        </w:rPr>
      </w:pPr>
      <w:r w:rsidRPr="00082AED">
        <w:rPr>
          <w:color w:val="000000" w:themeColor="text1"/>
        </w:rPr>
        <w:t xml:space="preserve">One of the most </w:t>
      </w:r>
      <w:r w:rsidR="00AD67C8" w:rsidRPr="00082AED">
        <w:rPr>
          <w:color w:val="000000" w:themeColor="text1"/>
        </w:rPr>
        <w:t xml:space="preserve">enduring </w:t>
      </w:r>
      <w:r w:rsidRPr="00082AED">
        <w:rPr>
          <w:color w:val="000000" w:themeColor="text1"/>
        </w:rPr>
        <w:t>images of rural life in Pennsylvania is the Amish farm.</w:t>
      </w:r>
      <w:r w:rsidR="0053777A" w:rsidRPr="00082AED">
        <w:rPr>
          <w:color w:val="000000" w:themeColor="text1"/>
        </w:rPr>
        <w:t xml:space="preserve">  </w:t>
      </w:r>
      <w:r w:rsidR="00150C8D" w:rsidRPr="00082AED">
        <w:rPr>
          <w:color w:val="000000" w:themeColor="text1"/>
        </w:rPr>
        <w:t>N</w:t>
      </w:r>
      <w:r w:rsidR="00367610" w:rsidRPr="00082AED">
        <w:rPr>
          <w:color w:val="000000" w:themeColor="text1"/>
        </w:rPr>
        <w:t>eat homestead</w:t>
      </w:r>
      <w:r w:rsidR="00BC7451" w:rsidRPr="00082AED">
        <w:rPr>
          <w:color w:val="000000" w:themeColor="text1"/>
        </w:rPr>
        <w:t>s</w:t>
      </w:r>
      <w:r w:rsidR="00367610" w:rsidRPr="00082AED">
        <w:rPr>
          <w:color w:val="000000" w:themeColor="text1"/>
        </w:rPr>
        <w:t xml:space="preserve">, </w:t>
      </w:r>
      <w:r w:rsidR="00C537F3" w:rsidRPr="00082AED">
        <w:rPr>
          <w:color w:val="000000" w:themeColor="text1"/>
        </w:rPr>
        <w:t xml:space="preserve">peaceful </w:t>
      </w:r>
      <w:r w:rsidR="00367610" w:rsidRPr="00082AED">
        <w:rPr>
          <w:color w:val="000000" w:themeColor="text1"/>
        </w:rPr>
        <w:t>fields of</w:t>
      </w:r>
      <w:r w:rsidR="00C537F3" w:rsidRPr="00082AED">
        <w:rPr>
          <w:color w:val="000000" w:themeColor="text1"/>
        </w:rPr>
        <w:t xml:space="preserve"> </w:t>
      </w:r>
      <w:r w:rsidR="00367610" w:rsidRPr="00082AED">
        <w:rPr>
          <w:color w:val="000000" w:themeColor="text1"/>
        </w:rPr>
        <w:t xml:space="preserve">crops and livestock, and colorful barn signs </w:t>
      </w:r>
      <w:r w:rsidR="00150C8D" w:rsidRPr="00082AED">
        <w:rPr>
          <w:color w:val="000000" w:themeColor="text1"/>
        </w:rPr>
        <w:t xml:space="preserve">all </w:t>
      </w:r>
      <w:r w:rsidR="00431CF7" w:rsidRPr="00082AED">
        <w:rPr>
          <w:color w:val="000000" w:themeColor="text1"/>
        </w:rPr>
        <w:t xml:space="preserve">inspire </w:t>
      </w:r>
      <w:r w:rsidR="00367610" w:rsidRPr="00082AED">
        <w:rPr>
          <w:color w:val="000000" w:themeColor="text1"/>
        </w:rPr>
        <w:t>vision</w:t>
      </w:r>
      <w:r w:rsidR="00150C8D" w:rsidRPr="00082AED">
        <w:rPr>
          <w:color w:val="000000" w:themeColor="text1"/>
        </w:rPr>
        <w:t>s</w:t>
      </w:r>
      <w:r w:rsidR="00367610" w:rsidRPr="00082AED">
        <w:rPr>
          <w:color w:val="000000" w:themeColor="text1"/>
        </w:rPr>
        <w:t xml:space="preserve"> </w:t>
      </w:r>
      <w:r w:rsidR="00431CF7" w:rsidRPr="00082AED">
        <w:rPr>
          <w:color w:val="000000" w:themeColor="text1"/>
        </w:rPr>
        <w:t xml:space="preserve">of a long-ago lifestyle being lived in present time by </w:t>
      </w:r>
      <w:r w:rsidR="00150C8D" w:rsidRPr="00082AED">
        <w:rPr>
          <w:color w:val="000000" w:themeColor="text1"/>
        </w:rPr>
        <w:t xml:space="preserve">a </w:t>
      </w:r>
      <w:r w:rsidR="00431CF7" w:rsidRPr="00082AED">
        <w:rPr>
          <w:color w:val="000000" w:themeColor="text1"/>
        </w:rPr>
        <w:t>special group of people</w:t>
      </w:r>
      <w:r w:rsidR="00BC7451" w:rsidRPr="00082AED">
        <w:rPr>
          <w:color w:val="000000" w:themeColor="text1"/>
        </w:rPr>
        <w:t>.</w:t>
      </w:r>
      <w:r w:rsidR="0053777A" w:rsidRPr="00082AED">
        <w:rPr>
          <w:color w:val="000000" w:themeColor="text1"/>
        </w:rPr>
        <w:t xml:space="preserve">  </w:t>
      </w:r>
      <w:r w:rsidR="00AC7CFD" w:rsidRPr="00082AED">
        <w:rPr>
          <w:color w:val="000000" w:themeColor="text1"/>
        </w:rPr>
        <w:t>Anyone who has</w:t>
      </w:r>
      <w:r w:rsidRPr="00082AED">
        <w:rPr>
          <w:color w:val="000000" w:themeColor="text1"/>
        </w:rPr>
        <w:t xml:space="preserve"> driven </w:t>
      </w:r>
      <w:r w:rsidR="00615E01" w:rsidRPr="00082AED">
        <w:rPr>
          <w:color w:val="000000" w:themeColor="text1"/>
        </w:rPr>
        <w:t xml:space="preserve">the </w:t>
      </w:r>
      <w:r w:rsidR="00BC7451" w:rsidRPr="00082AED">
        <w:rPr>
          <w:color w:val="000000" w:themeColor="text1"/>
        </w:rPr>
        <w:t>back</w:t>
      </w:r>
      <w:r w:rsidRPr="00082AED">
        <w:rPr>
          <w:color w:val="000000" w:themeColor="text1"/>
        </w:rPr>
        <w:t xml:space="preserve">roads </w:t>
      </w:r>
      <w:r w:rsidR="00BC7451" w:rsidRPr="00082AED">
        <w:rPr>
          <w:color w:val="000000" w:themeColor="text1"/>
        </w:rPr>
        <w:t xml:space="preserve">in certain parts of </w:t>
      </w:r>
      <w:r w:rsidR="00431CF7" w:rsidRPr="00082AED">
        <w:rPr>
          <w:color w:val="000000" w:themeColor="text1"/>
        </w:rPr>
        <w:t>Pennsylvania</w:t>
      </w:r>
      <w:r w:rsidR="00BC7451" w:rsidRPr="00082AED">
        <w:rPr>
          <w:color w:val="000000" w:themeColor="text1"/>
        </w:rPr>
        <w:t xml:space="preserve"> remember</w:t>
      </w:r>
      <w:r w:rsidR="00AC7CFD" w:rsidRPr="00082AED">
        <w:rPr>
          <w:color w:val="000000" w:themeColor="text1"/>
        </w:rPr>
        <w:t>s</w:t>
      </w:r>
      <w:r w:rsidR="00BC7451" w:rsidRPr="00082AED">
        <w:rPr>
          <w:color w:val="000000" w:themeColor="text1"/>
        </w:rPr>
        <w:t xml:space="preserve"> pulling over to </w:t>
      </w:r>
      <w:r w:rsidR="00AB4390" w:rsidRPr="00082AED">
        <w:rPr>
          <w:color w:val="000000" w:themeColor="text1"/>
        </w:rPr>
        <w:t xml:space="preserve">pass </w:t>
      </w:r>
      <w:r w:rsidR="00BC7451" w:rsidRPr="00082AED">
        <w:rPr>
          <w:color w:val="000000" w:themeColor="text1"/>
        </w:rPr>
        <w:t>a trotting horse</w:t>
      </w:r>
      <w:r w:rsidRPr="00082AED">
        <w:rPr>
          <w:color w:val="000000" w:themeColor="text1"/>
        </w:rPr>
        <w:t xml:space="preserve"> </w:t>
      </w:r>
      <w:r w:rsidR="00AB4390" w:rsidRPr="00082AED">
        <w:rPr>
          <w:color w:val="000000" w:themeColor="text1"/>
        </w:rPr>
        <w:t>pulling a</w:t>
      </w:r>
      <w:r w:rsidRPr="00082AED">
        <w:rPr>
          <w:color w:val="000000" w:themeColor="text1"/>
        </w:rPr>
        <w:t xml:space="preserve"> </w:t>
      </w:r>
      <w:r w:rsidR="00AB4390" w:rsidRPr="00082AED">
        <w:rPr>
          <w:color w:val="000000" w:themeColor="text1"/>
        </w:rPr>
        <w:t xml:space="preserve">boxy </w:t>
      </w:r>
      <w:r w:rsidRPr="00082AED">
        <w:rPr>
          <w:color w:val="000000" w:themeColor="text1"/>
        </w:rPr>
        <w:t>bugg</w:t>
      </w:r>
      <w:r w:rsidR="00BC7451" w:rsidRPr="00082AED">
        <w:rPr>
          <w:color w:val="000000" w:themeColor="text1"/>
        </w:rPr>
        <w:t>y</w:t>
      </w:r>
      <w:r w:rsidRPr="00082AED">
        <w:rPr>
          <w:color w:val="000000" w:themeColor="text1"/>
        </w:rPr>
        <w:t xml:space="preserve"> filled with</w:t>
      </w:r>
      <w:r w:rsidR="00BC7451" w:rsidRPr="00082AED">
        <w:rPr>
          <w:color w:val="000000" w:themeColor="text1"/>
        </w:rPr>
        <w:t xml:space="preserve"> </w:t>
      </w:r>
      <w:r w:rsidRPr="00082AED">
        <w:rPr>
          <w:color w:val="000000" w:themeColor="text1"/>
        </w:rPr>
        <w:t xml:space="preserve">quaintly-dressed </w:t>
      </w:r>
      <w:r w:rsidR="00431CF7" w:rsidRPr="00082AED">
        <w:rPr>
          <w:color w:val="000000" w:themeColor="text1"/>
        </w:rPr>
        <w:t xml:space="preserve">Amish </w:t>
      </w:r>
      <w:r w:rsidRPr="00082AED">
        <w:rPr>
          <w:color w:val="000000" w:themeColor="text1"/>
        </w:rPr>
        <w:t>adults and children.</w:t>
      </w:r>
      <w:r w:rsidR="0053777A" w:rsidRPr="00082AED">
        <w:rPr>
          <w:color w:val="000000" w:themeColor="text1"/>
        </w:rPr>
        <w:t xml:space="preserve">  </w:t>
      </w:r>
      <w:r w:rsidR="00BC7451" w:rsidRPr="00082AED">
        <w:rPr>
          <w:color w:val="000000" w:themeColor="text1"/>
        </w:rPr>
        <w:t xml:space="preserve">Many </w:t>
      </w:r>
      <w:r w:rsidR="00AB4390" w:rsidRPr="00082AED">
        <w:rPr>
          <w:color w:val="000000" w:themeColor="text1"/>
        </w:rPr>
        <w:t xml:space="preserve">people </w:t>
      </w:r>
      <w:r w:rsidR="00BC7451" w:rsidRPr="00082AED">
        <w:rPr>
          <w:color w:val="000000" w:themeColor="text1"/>
        </w:rPr>
        <w:t xml:space="preserve">who visit </w:t>
      </w:r>
      <w:r w:rsidR="00431CF7" w:rsidRPr="00082AED">
        <w:rPr>
          <w:color w:val="000000" w:themeColor="text1"/>
        </w:rPr>
        <w:t xml:space="preserve">the state </w:t>
      </w:r>
      <w:r w:rsidR="00BC7451" w:rsidRPr="00082AED">
        <w:rPr>
          <w:color w:val="000000" w:themeColor="text1"/>
        </w:rPr>
        <w:t>make a special effort to stop at road stands or storefronts where</w:t>
      </w:r>
      <w:r w:rsidR="00431CF7" w:rsidRPr="00082AED">
        <w:rPr>
          <w:color w:val="000000" w:themeColor="text1"/>
        </w:rPr>
        <w:t xml:space="preserve"> the</w:t>
      </w:r>
      <w:r w:rsidR="00BC7451" w:rsidRPr="00082AED">
        <w:rPr>
          <w:color w:val="000000" w:themeColor="text1"/>
        </w:rPr>
        <w:t xml:space="preserve"> industrious Amish offer everything from home-grown foodstuffs to hand</w:t>
      </w:r>
      <w:r w:rsidR="00150C8D" w:rsidRPr="00082AED">
        <w:rPr>
          <w:color w:val="000000" w:themeColor="text1"/>
        </w:rPr>
        <w:t>-crafted</w:t>
      </w:r>
      <w:r w:rsidR="00BC7451" w:rsidRPr="00082AED">
        <w:rPr>
          <w:color w:val="000000" w:themeColor="text1"/>
        </w:rPr>
        <w:t xml:space="preserve"> quilts </w:t>
      </w:r>
      <w:r w:rsidR="00431CF7" w:rsidRPr="00082AED">
        <w:rPr>
          <w:color w:val="000000" w:themeColor="text1"/>
        </w:rPr>
        <w:t xml:space="preserve">and </w:t>
      </w:r>
      <w:r w:rsidR="00BC7451" w:rsidRPr="00082AED">
        <w:rPr>
          <w:color w:val="000000" w:themeColor="text1"/>
        </w:rPr>
        <w:t>furniture.</w:t>
      </w:r>
      <w:r w:rsidR="0053777A" w:rsidRPr="00082AED">
        <w:rPr>
          <w:color w:val="000000" w:themeColor="text1"/>
        </w:rPr>
        <w:t xml:space="preserve">  </w:t>
      </w:r>
      <w:r w:rsidR="00150C8D" w:rsidRPr="00082AED">
        <w:rPr>
          <w:color w:val="000000" w:themeColor="text1"/>
        </w:rPr>
        <w:t xml:space="preserve">The Pennsylvania Dutch, as Amish people are sometimes colloquially called, have inspired books, films, and dreams </w:t>
      </w:r>
      <w:r w:rsidR="00AB4390" w:rsidRPr="00082AED">
        <w:rPr>
          <w:color w:val="000000" w:themeColor="text1"/>
        </w:rPr>
        <w:t>for</w:t>
      </w:r>
      <w:r w:rsidR="00150C8D" w:rsidRPr="00082AED">
        <w:rPr>
          <w:color w:val="000000" w:themeColor="text1"/>
        </w:rPr>
        <w:t xml:space="preserve"> tourists who visit the state and native Pennsylvanians alike.</w:t>
      </w:r>
      <w:r w:rsidR="0053777A" w:rsidRPr="00082AED">
        <w:rPr>
          <w:color w:val="000000" w:themeColor="text1"/>
        </w:rPr>
        <w:t xml:space="preserve">  </w:t>
      </w:r>
      <w:r w:rsidR="00104688" w:rsidRPr="00082AED">
        <w:rPr>
          <w:color w:val="000000" w:themeColor="text1"/>
        </w:rPr>
        <w:t>T</w:t>
      </w:r>
      <w:r w:rsidR="00BC3473" w:rsidRPr="00082AED">
        <w:rPr>
          <w:color w:val="000000" w:themeColor="text1"/>
        </w:rPr>
        <w:t>o put it simply, t</w:t>
      </w:r>
      <w:r w:rsidR="00104688" w:rsidRPr="00082AED">
        <w:rPr>
          <w:color w:val="000000" w:themeColor="text1"/>
        </w:rPr>
        <w:t>he Amish</w:t>
      </w:r>
      <w:r w:rsidR="00BC7451" w:rsidRPr="00082AED">
        <w:rPr>
          <w:color w:val="000000" w:themeColor="text1"/>
        </w:rPr>
        <w:t xml:space="preserve"> </w:t>
      </w:r>
      <w:r w:rsidR="00104688" w:rsidRPr="00082AED">
        <w:rPr>
          <w:color w:val="000000" w:themeColor="text1"/>
        </w:rPr>
        <w:t xml:space="preserve">are </w:t>
      </w:r>
      <w:r w:rsidR="00AD67C8" w:rsidRPr="00082AED">
        <w:rPr>
          <w:color w:val="000000" w:themeColor="text1"/>
        </w:rPr>
        <w:t xml:space="preserve">an iconic </w:t>
      </w:r>
      <w:r w:rsidR="00104688" w:rsidRPr="00082AED">
        <w:rPr>
          <w:color w:val="000000" w:themeColor="text1"/>
        </w:rPr>
        <w:t xml:space="preserve">part of </w:t>
      </w:r>
      <w:r w:rsidR="00D113A1" w:rsidRPr="00082AED">
        <w:rPr>
          <w:color w:val="000000" w:themeColor="text1"/>
        </w:rPr>
        <w:t xml:space="preserve">Pennsylvania’s </w:t>
      </w:r>
      <w:r w:rsidR="00A90EDB">
        <w:rPr>
          <w:color w:val="000000" w:themeColor="text1"/>
        </w:rPr>
        <w:t>c</w:t>
      </w:r>
      <w:r w:rsidR="00104688" w:rsidRPr="00082AED">
        <w:rPr>
          <w:color w:val="000000" w:themeColor="text1"/>
        </w:rPr>
        <w:t>ommonwealt</w:t>
      </w:r>
      <w:r w:rsidR="00AD67C8" w:rsidRPr="00082AED">
        <w:rPr>
          <w:color w:val="000000" w:themeColor="text1"/>
        </w:rPr>
        <w:t>h.</w:t>
      </w:r>
    </w:p>
    <w:p w14:paraId="2B653097" w14:textId="49F3B889" w:rsidR="00E07826" w:rsidRPr="00082AED" w:rsidRDefault="00E07826" w:rsidP="00150C8D">
      <w:pPr>
        <w:spacing w:line="480" w:lineRule="auto"/>
        <w:ind w:firstLine="360"/>
        <w:rPr>
          <w:color w:val="000000" w:themeColor="text1"/>
        </w:rPr>
      </w:pPr>
      <w:r w:rsidRPr="00082AED">
        <w:rPr>
          <w:color w:val="000000" w:themeColor="text1"/>
        </w:rPr>
        <w:t xml:space="preserve">The Amish </w:t>
      </w:r>
      <w:r w:rsidR="00615E01" w:rsidRPr="00082AED">
        <w:rPr>
          <w:color w:val="000000" w:themeColor="text1"/>
        </w:rPr>
        <w:t>are members of a Christian church that traces its origins to the rise of Protestantism in Europe in the 1500s.</w:t>
      </w:r>
      <w:r w:rsidR="00615E01" w:rsidRPr="00082AED">
        <w:rPr>
          <w:rStyle w:val="FootnoteReference"/>
          <w:color w:val="000000" w:themeColor="text1"/>
        </w:rPr>
        <w:footnoteReference w:id="1"/>
      </w:r>
      <w:r w:rsidR="0053777A" w:rsidRPr="00082AED">
        <w:rPr>
          <w:color w:val="000000" w:themeColor="text1"/>
        </w:rPr>
        <w:t xml:space="preserve">  </w:t>
      </w:r>
      <w:r w:rsidR="000B58B4" w:rsidRPr="00082AED">
        <w:rPr>
          <w:color w:val="000000" w:themeColor="text1"/>
        </w:rPr>
        <w:t>The</w:t>
      </w:r>
      <w:r w:rsidR="00150C8D" w:rsidRPr="00082AED">
        <w:rPr>
          <w:color w:val="000000" w:themeColor="text1"/>
        </w:rPr>
        <w:t xml:space="preserve">y </w:t>
      </w:r>
      <w:r w:rsidR="0049490A" w:rsidRPr="00082AED">
        <w:rPr>
          <w:color w:val="000000" w:themeColor="text1"/>
        </w:rPr>
        <w:t>believe in a life of humility and obedience where faith, community, and tradition are highly valued above all.</w:t>
      </w:r>
      <w:r w:rsidR="0049490A" w:rsidRPr="00082AED">
        <w:rPr>
          <w:rStyle w:val="FootnoteReference"/>
          <w:color w:val="000000" w:themeColor="text1"/>
        </w:rPr>
        <w:footnoteReference w:id="2"/>
      </w:r>
      <w:r w:rsidR="0053777A" w:rsidRPr="00082AED">
        <w:rPr>
          <w:color w:val="000000" w:themeColor="text1"/>
        </w:rPr>
        <w:t xml:space="preserve">  </w:t>
      </w:r>
      <w:r w:rsidR="00150C8D" w:rsidRPr="00082AED">
        <w:rPr>
          <w:color w:val="000000" w:themeColor="text1"/>
        </w:rPr>
        <w:t xml:space="preserve">Amish </w:t>
      </w:r>
      <w:r w:rsidR="000B58B4" w:rsidRPr="00082AED">
        <w:rPr>
          <w:color w:val="000000" w:themeColor="text1"/>
        </w:rPr>
        <w:t>are known for their simple, agrarian lifestyle that selectively uses</w:t>
      </w:r>
      <w:r w:rsidR="0049490A" w:rsidRPr="00082AED">
        <w:rPr>
          <w:color w:val="000000" w:themeColor="text1"/>
        </w:rPr>
        <w:t xml:space="preserve"> </w:t>
      </w:r>
      <w:r w:rsidR="000B58B4" w:rsidRPr="00082AED">
        <w:rPr>
          <w:color w:val="000000" w:themeColor="text1"/>
        </w:rPr>
        <w:t>modern technology.</w:t>
      </w:r>
      <w:r w:rsidR="000B58B4" w:rsidRPr="00082AED">
        <w:rPr>
          <w:rStyle w:val="FootnoteReference"/>
          <w:color w:val="000000" w:themeColor="text1"/>
        </w:rPr>
        <w:footnoteReference w:id="3"/>
      </w:r>
      <w:r w:rsidR="0053777A" w:rsidRPr="00082AED">
        <w:rPr>
          <w:color w:val="000000" w:themeColor="text1"/>
        </w:rPr>
        <w:t xml:space="preserve">  </w:t>
      </w:r>
      <w:r w:rsidR="000B58B4" w:rsidRPr="00082AED">
        <w:rPr>
          <w:color w:val="000000" w:themeColor="text1"/>
        </w:rPr>
        <w:t xml:space="preserve">Most Amish people reject </w:t>
      </w:r>
      <w:r w:rsidR="0049490A" w:rsidRPr="00082AED">
        <w:rPr>
          <w:color w:val="000000" w:themeColor="text1"/>
        </w:rPr>
        <w:t>a</w:t>
      </w:r>
      <w:r w:rsidR="00566F63" w:rsidRPr="00082AED">
        <w:rPr>
          <w:color w:val="000000" w:themeColor="text1"/>
        </w:rPr>
        <w:t>n</w:t>
      </w:r>
      <w:r w:rsidR="0049490A" w:rsidRPr="00082AED">
        <w:rPr>
          <w:color w:val="000000" w:themeColor="text1"/>
        </w:rPr>
        <w:t>y utilit</w:t>
      </w:r>
      <w:r w:rsidR="00566F63" w:rsidRPr="00082AED">
        <w:rPr>
          <w:color w:val="000000" w:themeColor="text1"/>
        </w:rPr>
        <w:t>y</w:t>
      </w:r>
      <w:r w:rsidR="0049490A" w:rsidRPr="00082AED">
        <w:rPr>
          <w:color w:val="000000" w:themeColor="text1"/>
        </w:rPr>
        <w:t xml:space="preserve"> </w:t>
      </w:r>
      <w:r w:rsidR="000B58B4" w:rsidRPr="00082AED">
        <w:rPr>
          <w:color w:val="000000" w:themeColor="text1"/>
        </w:rPr>
        <w:t xml:space="preserve">that </w:t>
      </w:r>
      <w:r w:rsidR="0049490A" w:rsidRPr="00082AED">
        <w:rPr>
          <w:color w:val="000000" w:themeColor="text1"/>
        </w:rPr>
        <w:t xml:space="preserve">would </w:t>
      </w:r>
      <w:r w:rsidR="00AB4390" w:rsidRPr="00082AED">
        <w:rPr>
          <w:color w:val="000000" w:themeColor="text1"/>
        </w:rPr>
        <w:t xml:space="preserve">physically </w:t>
      </w:r>
      <w:r w:rsidR="000B58B4" w:rsidRPr="00082AED">
        <w:rPr>
          <w:color w:val="000000" w:themeColor="text1"/>
        </w:rPr>
        <w:t>tie their home to the outside world, such as</w:t>
      </w:r>
      <w:r w:rsidR="0049490A" w:rsidRPr="00082AED">
        <w:rPr>
          <w:color w:val="000000" w:themeColor="text1"/>
        </w:rPr>
        <w:t xml:space="preserve"> a </w:t>
      </w:r>
      <w:r w:rsidR="000B58B4" w:rsidRPr="00082AED">
        <w:rPr>
          <w:color w:val="000000" w:themeColor="text1"/>
        </w:rPr>
        <w:t>connect</w:t>
      </w:r>
      <w:r w:rsidR="0049490A" w:rsidRPr="00082AED">
        <w:rPr>
          <w:color w:val="000000" w:themeColor="text1"/>
        </w:rPr>
        <w:t>ion</w:t>
      </w:r>
      <w:r w:rsidR="000B58B4" w:rsidRPr="00082AED">
        <w:rPr>
          <w:color w:val="000000" w:themeColor="text1"/>
        </w:rPr>
        <w:t xml:space="preserve"> to the electrical grid or a public water supply.</w:t>
      </w:r>
      <w:r w:rsidR="000B58B4" w:rsidRPr="00082AED">
        <w:rPr>
          <w:rStyle w:val="FootnoteReference"/>
          <w:color w:val="000000" w:themeColor="text1"/>
        </w:rPr>
        <w:footnoteReference w:id="4"/>
      </w:r>
    </w:p>
    <w:p w14:paraId="7C2C5921" w14:textId="3F264571" w:rsidR="00E750FE" w:rsidRPr="00082AED" w:rsidRDefault="0049490A" w:rsidP="00150C8D">
      <w:pPr>
        <w:spacing w:line="480" w:lineRule="auto"/>
        <w:ind w:firstLine="360"/>
        <w:rPr>
          <w:color w:val="000000" w:themeColor="text1"/>
        </w:rPr>
      </w:pPr>
      <w:r w:rsidRPr="00082AED">
        <w:rPr>
          <w:color w:val="000000" w:themeColor="text1"/>
        </w:rPr>
        <w:t>Nearly 77,000 Amish are estimated to live in Pennsylvania</w:t>
      </w:r>
      <w:r w:rsidR="007954DF" w:rsidRPr="00082AED">
        <w:rPr>
          <w:color w:val="000000" w:themeColor="text1"/>
        </w:rPr>
        <w:t>.</w:t>
      </w:r>
      <w:r w:rsidRPr="00082AED">
        <w:rPr>
          <w:rStyle w:val="FootnoteReference"/>
          <w:color w:val="000000" w:themeColor="text1"/>
        </w:rPr>
        <w:footnoteReference w:id="5"/>
      </w:r>
      <w:r w:rsidR="0053777A" w:rsidRPr="00082AED">
        <w:rPr>
          <w:color w:val="000000" w:themeColor="text1"/>
        </w:rPr>
        <w:t xml:space="preserve">  </w:t>
      </w:r>
      <w:r w:rsidR="007954DF" w:rsidRPr="00082AED">
        <w:rPr>
          <w:color w:val="000000" w:themeColor="text1"/>
        </w:rPr>
        <w:t>A little over half of this population lives in Lancaster Count</w:t>
      </w:r>
      <w:r w:rsidR="00992293" w:rsidRPr="00082AED">
        <w:rPr>
          <w:color w:val="000000" w:themeColor="text1"/>
        </w:rPr>
        <w:t>y</w:t>
      </w:r>
      <w:r w:rsidR="007954DF" w:rsidRPr="00082AED">
        <w:rPr>
          <w:color w:val="000000" w:themeColor="text1"/>
        </w:rPr>
        <w:t>.</w:t>
      </w:r>
      <w:r w:rsidR="007954DF" w:rsidRPr="00082AED">
        <w:rPr>
          <w:rStyle w:val="FootnoteReference"/>
          <w:color w:val="000000" w:themeColor="text1"/>
        </w:rPr>
        <w:footnoteReference w:id="6"/>
      </w:r>
      <w:r w:rsidR="0053777A" w:rsidRPr="00082AED">
        <w:rPr>
          <w:color w:val="000000" w:themeColor="text1"/>
        </w:rPr>
        <w:t xml:space="preserve">  </w:t>
      </w:r>
      <w:r w:rsidR="00992293" w:rsidRPr="00082AED">
        <w:rPr>
          <w:color w:val="000000" w:themeColor="text1"/>
        </w:rPr>
        <w:t xml:space="preserve">Since the early 1700s, the Amish found that the rich soil </w:t>
      </w:r>
      <w:r w:rsidR="00992293" w:rsidRPr="00082AED">
        <w:rPr>
          <w:color w:val="000000" w:themeColor="text1"/>
        </w:rPr>
        <w:lastRenderedPageBreak/>
        <w:t xml:space="preserve">of Lancaster County was a perfect place to </w:t>
      </w:r>
      <w:r w:rsidR="0082411F" w:rsidRPr="00082AED">
        <w:rPr>
          <w:color w:val="000000" w:themeColor="text1"/>
        </w:rPr>
        <w:t>establish their</w:t>
      </w:r>
      <w:r w:rsidR="00992293" w:rsidRPr="00082AED">
        <w:rPr>
          <w:color w:val="000000" w:themeColor="text1"/>
        </w:rPr>
        <w:t xml:space="preserve"> fa</w:t>
      </w:r>
      <w:r w:rsidR="0082411F" w:rsidRPr="00082AED">
        <w:rPr>
          <w:color w:val="000000" w:themeColor="text1"/>
        </w:rPr>
        <w:t>r</w:t>
      </w:r>
      <w:r w:rsidR="00992293" w:rsidRPr="00082AED">
        <w:rPr>
          <w:color w:val="000000" w:themeColor="text1"/>
        </w:rPr>
        <w:t>ming</w:t>
      </w:r>
      <w:r w:rsidR="0082411F" w:rsidRPr="00082AED">
        <w:rPr>
          <w:color w:val="000000" w:themeColor="text1"/>
        </w:rPr>
        <w:t xml:space="preserve"> communities</w:t>
      </w:r>
      <w:r w:rsidR="00992293" w:rsidRPr="00082AED">
        <w:rPr>
          <w:color w:val="000000" w:themeColor="text1"/>
        </w:rPr>
        <w:t>.</w:t>
      </w:r>
      <w:r w:rsidR="0082411F" w:rsidRPr="00082AED">
        <w:rPr>
          <w:rStyle w:val="FootnoteReference"/>
          <w:color w:val="000000" w:themeColor="text1"/>
        </w:rPr>
        <w:footnoteReference w:id="7"/>
      </w:r>
      <w:r w:rsidR="0053777A" w:rsidRPr="00082AED">
        <w:rPr>
          <w:color w:val="000000" w:themeColor="text1"/>
        </w:rPr>
        <w:t xml:space="preserve">  </w:t>
      </w:r>
      <w:r w:rsidR="008A7431" w:rsidRPr="00082AED">
        <w:rPr>
          <w:color w:val="000000" w:themeColor="text1"/>
        </w:rPr>
        <w:t>As the population gr</w:t>
      </w:r>
      <w:r w:rsidR="004E702D" w:rsidRPr="00082AED">
        <w:rPr>
          <w:color w:val="000000" w:themeColor="text1"/>
        </w:rPr>
        <w:t>e</w:t>
      </w:r>
      <w:r w:rsidR="000F1FEB" w:rsidRPr="00082AED">
        <w:rPr>
          <w:color w:val="000000" w:themeColor="text1"/>
        </w:rPr>
        <w:t>w</w:t>
      </w:r>
      <w:r w:rsidR="008A7431" w:rsidRPr="00082AED">
        <w:rPr>
          <w:color w:val="000000" w:themeColor="text1"/>
        </w:rPr>
        <w:t xml:space="preserve"> in </w:t>
      </w:r>
      <w:r w:rsidR="004E702D" w:rsidRPr="00082AED">
        <w:rPr>
          <w:color w:val="000000" w:themeColor="text1"/>
        </w:rPr>
        <w:t xml:space="preserve">these </w:t>
      </w:r>
      <w:r w:rsidR="008A7431" w:rsidRPr="00082AED">
        <w:rPr>
          <w:color w:val="000000" w:themeColor="text1"/>
        </w:rPr>
        <w:t>area</w:t>
      </w:r>
      <w:r w:rsidR="004E702D" w:rsidRPr="00082AED">
        <w:rPr>
          <w:color w:val="000000" w:themeColor="text1"/>
        </w:rPr>
        <w:t>s</w:t>
      </w:r>
      <w:r w:rsidR="008A7431" w:rsidRPr="00082AED">
        <w:rPr>
          <w:color w:val="000000" w:themeColor="text1"/>
        </w:rPr>
        <w:t xml:space="preserve">, </w:t>
      </w:r>
      <w:r w:rsidR="00D66AEF" w:rsidRPr="00082AED">
        <w:rPr>
          <w:color w:val="000000" w:themeColor="text1"/>
        </w:rPr>
        <w:t>a</w:t>
      </w:r>
      <w:r w:rsidR="008A7431" w:rsidRPr="00082AED">
        <w:rPr>
          <w:color w:val="000000" w:themeColor="text1"/>
        </w:rPr>
        <w:t xml:space="preserve"> tradition</w:t>
      </w:r>
      <w:r w:rsidR="004E702D" w:rsidRPr="00082AED">
        <w:rPr>
          <w:color w:val="000000" w:themeColor="text1"/>
        </w:rPr>
        <w:t xml:space="preserve"> </w:t>
      </w:r>
      <w:r w:rsidR="00D66AEF" w:rsidRPr="00082AED">
        <w:rPr>
          <w:color w:val="000000" w:themeColor="text1"/>
        </w:rPr>
        <w:t>was established for</w:t>
      </w:r>
      <w:r w:rsidR="008A7431" w:rsidRPr="00082AED">
        <w:rPr>
          <w:color w:val="000000" w:themeColor="text1"/>
        </w:rPr>
        <w:t xml:space="preserve"> some members of the community to migrate to other </w:t>
      </w:r>
      <w:r w:rsidR="004E702D" w:rsidRPr="00082AED">
        <w:rPr>
          <w:color w:val="000000" w:themeColor="text1"/>
        </w:rPr>
        <w:t>regions</w:t>
      </w:r>
      <w:r w:rsidR="008A7431" w:rsidRPr="00082AED">
        <w:rPr>
          <w:color w:val="000000" w:themeColor="text1"/>
        </w:rPr>
        <w:t>.</w:t>
      </w:r>
      <w:r w:rsidR="000F1FEB" w:rsidRPr="00082AED">
        <w:rPr>
          <w:rStyle w:val="FootnoteReference"/>
          <w:color w:val="000000" w:themeColor="text1"/>
        </w:rPr>
        <w:footnoteReference w:id="8"/>
      </w:r>
      <w:r w:rsidR="0053777A" w:rsidRPr="00082AED">
        <w:rPr>
          <w:color w:val="000000" w:themeColor="text1"/>
        </w:rPr>
        <w:t xml:space="preserve">  </w:t>
      </w:r>
      <w:r w:rsidR="008A7431" w:rsidRPr="00082AED">
        <w:rPr>
          <w:color w:val="000000" w:themeColor="text1"/>
        </w:rPr>
        <w:t xml:space="preserve">In recent years, </w:t>
      </w:r>
      <w:r w:rsidR="00992293" w:rsidRPr="00082AED">
        <w:rPr>
          <w:color w:val="000000" w:themeColor="text1"/>
        </w:rPr>
        <w:t xml:space="preserve">land prices and </w:t>
      </w:r>
      <w:r w:rsidR="000F1FEB" w:rsidRPr="00082AED">
        <w:rPr>
          <w:color w:val="000000" w:themeColor="text1"/>
        </w:rPr>
        <w:t>suburban sprawl</w:t>
      </w:r>
      <w:r w:rsidR="00E750FE" w:rsidRPr="00082AED">
        <w:rPr>
          <w:color w:val="000000" w:themeColor="text1"/>
        </w:rPr>
        <w:t xml:space="preserve"> have </w:t>
      </w:r>
      <w:r w:rsidR="000F1FEB" w:rsidRPr="00082AED">
        <w:rPr>
          <w:color w:val="000000" w:themeColor="text1"/>
        </w:rPr>
        <w:t>accelerated this process.</w:t>
      </w:r>
      <w:r w:rsidR="000F1FEB" w:rsidRPr="00082AED">
        <w:rPr>
          <w:rStyle w:val="FootnoteReference"/>
          <w:color w:val="000000" w:themeColor="text1"/>
        </w:rPr>
        <w:footnoteReference w:id="9"/>
      </w:r>
      <w:r w:rsidR="0053777A" w:rsidRPr="00082AED">
        <w:rPr>
          <w:color w:val="000000" w:themeColor="text1"/>
        </w:rPr>
        <w:t xml:space="preserve">  </w:t>
      </w:r>
      <w:r w:rsidR="00E750FE" w:rsidRPr="00082AED">
        <w:rPr>
          <w:color w:val="000000" w:themeColor="text1"/>
        </w:rPr>
        <w:t xml:space="preserve">Migrated </w:t>
      </w:r>
      <w:r w:rsidR="000F1FEB" w:rsidRPr="00082AED">
        <w:rPr>
          <w:color w:val="000000" w:themeColor="text1"/>
        </w:rPr>
        <w:t xml:space="preserve">Amish are now found in </w:t>
      </w:r>
      <w:r w:rsidR="009813EE" w:rsidRPr="00082AED">
        <w:rPr>
          <w:color w:val="000000" w:themeColor="text1"/>
        </w:rPr>
        <w:t>many rural areas, especially in northwest Pennsylvania</w:t>
      </w:r>
      <w:r w:rsidR="005610CB" w:rsidRPr="00082AED">
        <w:rPr>
          <w:color w:val="000000" w:themeColor="text1"/>
        </w:rPr>
        <w:t xml:space="preserve">, where they </w:t>
      </w:r>
      <w:r w:rsidR="00E750FE" w:rsidRPr="00082AED">
        <w:rPr>
          <w:color w:val="000000" w:themeColor="text1"/>
        </w:rPr>
        <w:t xml:space="preserve">have </w:t>
      </w:r>
      <w:r w:rsidR="005610CB" w:rsidRPr="00082AED">
        <w:rPr>
          <w:color w:val="000000" w:themeColor="text1"/>
        </w:rPr>
        <w:t>establish</w:t>
      </w:r>
      <w:r w:rsidR="00E750FE" w:rsidRPr="00082AED">
        <w:rPr>
          <w:color w:val="000000" w:themeColor="text1"/>
        </w:rPr>
        <w:t>ed</w:t>
      </w:r>
      <w:r w:rsidR="005610CB" w:rsidRPr="00082AED">
        <w:rPr>
          <w:color w:val="000000" w:themeColor="text1"/>
        </w:rPr>
        <w:t xml:space="preserve"> new farming communities </w:t>
      </w:r>
      <w:r w:rsidR="004E702D" w:rsidRPr="00082AED">
        <w:rPr>
          <w:color w:val="000000" w:themeColor="text1"/>
        </w:rPr>
        <w:t>or</w:t>
      </w:r>
      <w:r w:rsidR="005610CB" w:rsidRPr="00082AED">
        <w:rPr>
          <w:color w:val="000000" w:themeColor="text1"/>
        </w:rPr>
        <w:t xml:space="preserve"> run cottage industries and small businesses</w:t>
      </w:r>
      <w:r w:rsidR="009813EE" w:rsidRPr="00082AED">
        <w:rPr>
          <w:color w:val="000000" w:themeColor="text1"/>
        </w:rPr>
        <w:t>.</w:t>
      </w:r>
      <w:r w:rsidR="009813EE" w:rsidRPr="00082AED">
        <w:rPr>
          <w:rStyle w:val="FootnoteReference"/>
          <w:color w:val="000000" w:themeColor="text1"/>
        </w:rPr>
        <w:footnoteReference w:id="10"/>
      </w:r>
      <w:r w:rsidR="0053777A" w:rsidRPr="00082AED">
        <w:rPr>
          <w:color w:val="000000" w:themeColor="text1"/>
        </w:rPr>
        <w:t xml:space="preserve">  </w:t>
      </w:r>
      <w:r w:rsidR="005610CB" w:rsidRPr="00082AED">
        <w:rPr>
          <w:color w:val="000000" w:themeColor="text1"/>
        </w:rPr>
        <w:t xml:space="preserve">One of these </w:t>
      </w:r>
      <w:r w:rsidR="004E702D" w:rsidRPr="00082AED">
        <w:rPr>
          <w:color w:val="000000" w:themeColor="text1"/>
        </w:rPr>
        <w:t xml:space="preserve">is a </w:t>
      </w:r>
      <w:r w:rsidR="005610CB" w:rsidRPr="00082AED">
        <w:rPr>
          <w:color w:val="000000" w:themeColor="text1"/>
        </w:rPr>
        <w:t>small</w:t>
      </w:r>
      <w:r w:rsidR="004E702D" w:rsidRPr="00082AED">
        <w:rPr>
          <w:color w:val="000000" w:themeColor="text1"/>
        </w:rPr>
        <w:t>er</w:t>
      </w:r>
      <w:r w:rsidR="005610CB" w:rsidRPr="00082AED">
        <w:rPr>
          <w:color w:val="000000" w:themeColor="text1"/>
        </w:rPr>
        <w:t xml:space="preserve"> Amish </w:t>
      </w:r>
      <w:r w:rsidR="004E702D" w:rsidRPr="00082AED">
        <w:rPr>
          <w:color w:val="000000" w:themeColor="text1"/>
        </w:rPr>
        <w:t xml:space="preserve">group </w:t>
      </w:r>
      <w:r w:rsidR="005610CB" w:rsidRPr="00082AED">
        <w:rPr>
          <w:color w:val="000000" w:themeColor="text1"/>
        </w:rPr>
        <w:t>located in the Sugar Grove area of Warren County</w:t>
      </w:r>
      <w:r w:rsidR="004E702D" w:rsidRPr="00082AED">
        <w:rPr>
          <w:color w:val="000000" w:themeColor="text1"/>
        </w:rPr>
        <w:t xml:space="preserve">, near the </w:t>
      </w:r>
      <w:r w:rsidR="005610CB" w:rsidRPr="00082AED">
        <w:rPr>
          <w:color w:val="000000" w:themeColor="text1"/>
        </w:rPr>
        <w:t>New York border.</w:t>
      </w:r>
      <w:r w:rsidR="005610CB" w:rsidRPr="00082AED">
        <w:rPr>
          <w:rStyle w:val="FootnoteReference"/>
          <w:color w:val="000000" w:themeColor="text1"/>
        </w:rPr>
        <w:footnoteReference w:id="11"/>
      </w:r>
      <w:r w:rsidR="005610CB" w:rsidRPr="00082AED">
        <w:rPr>
          <w:color w:val="000000" w:themeColor="text1"/>
        </w:rPr>
        <w:t xml:space="preserve"> </w:t>
      </w:r>
    </w:p>
    <w:p w14:paraId="349F0741" w14:textId="78A160C4" w:rsidR="00BB6218" w:rsidRPr="00082AED" w:rsidRDefault="00E07826" w:rsidP="0008415E">
      <w:pPr>
        <w:pStyle w:val="ListParagraph"/>
        <w:numPr>
          <w:ilvl w:val="0"/>
          <w:numId w:val="4"/>
        </w:numPr>
        <w:spacing w:line="480" w:lineRule="auto"/>
        <w:ind w:left="0"/>
        <w:jc w:val="center"/>
        <w:rPr>
          <w:b/>
          <w:color w:val="000000" w:themeColor="text1"/>
        </w:rPr>
      </w:pPr>
      <w:r w:rsidRPr="00082AED">
        <w:rPr>
          <w:b/>
          <w:color w:val="000000" w:themeColor="text1"/>
        </w:rPr>
        <w:t>Reporting</w:t>
      </w:r>
    </w:p>
    <w:p w14:paraId="601518B2" w14:textId="2FB9A801" w:rsidR="00A56859" w:rsidRPr="00082AED" w:rsidRDefault="008F1B88" w:rsidP="00150C8D">
      <w:pPr>
        <w:spacing w:line="480" w:lineRule="auto"/>
        <w:ind w:firstLine="270"/>
        <w:rPr>
          <w:color w:val="000000" w:themeColor="text1"/>
        </w:rPr>
      </w:pPr>
      <w:r w:rsidRPr="00082AED">
        <w:rPr>
          <w:color w:val="000000" w:themeColor="text1"/>
        </w:rPr>
        <w:t>A</w:t>
      </w:r>
      <w:r w:rsidR="00D0644D" w:rsidRPr="00082AED">
        <w:rPr>
          <w:color w:val="000000" w:themeColor="text1"/>
        </w:rPr>
        <w:t xml:space="preserve"> clean environment is a constitutional right of all Pennsylvania citizens.</w:t>
      </w:r>
      <w:r w:rsidR="00D0644D" w:rsidRPr="00082AED">
        <w:rPr>
          <w:rStyle w:val="FootnoteReference"/>
          <w:color w:val="000000" w:themeColor="text1"/>
        </w:rPr>
        <w:footnoteReference w:id="12"/>
      </w:r>
      <w:r w:rsidR="0053777A" w:rsidRPr="00082AED">
        <w:rPr>
          <w:color w:val="000000" w:themeColor="text1"/>
        </w:rPr>
        <w:t xml:space="preserve">  </w:t>
      </w:r>
      <w:r w:rsidRPr="00082AED">
        <w:rPr>
          <w:color w:val="000000" w:themeColor="text1"/>
        </w:rPr>
        <w:t>E</w:t>
      </w:r>
      <w:r w:rsidR="00D0644D" w:rsidRPr="00082AED">
        <w:rPr>
          <w:color w:val="000000" w:themeColor="text1"/>
        </w:rPr>
        <w:t>nvironmental concerns have sparked water quality and protection ordinances in small communities all over the state</w:t>
      </w:r>
      <w:r w:rsidRPr="00082AED">
        <w:rPr>
          <w:color w:val="000000" w:themeColor="text1"/>
        </w:rPr>
        <w:t>, including the vast “wilds” of Pennsylvania’s northern tier</w:t>
      </w:r>
      <w:r w:rsidR="00D0644D" w:rsidRPr="00082AED">
        <w:rPr>
          <w:color w:val="000000" w:themeColor="text1"/>
        </w:rPr>
        <w:t>.</w:t>
      </w:r>
      <w:r w:rsidR="00D0644D" w:rsidRPr="00082AED">
        <w:rPr>
          <w:rStyle w:val="FootnoteReference"/>
          <w:color w:val="000000" w:themeColor="text1"/>
        </w:rPr>
        <w:footnoteReference w:id="13"/>
      </w:r>
      <w:r w:rsidR="0053777A" w:rsidRPr="00082AED">
        <w:rPr>
          <w:color w:val="000000" w:themeColor="text1"/>
        </w:rPr>
        <w:t xml:space="preserve">  </w:t>
      </w:r>
      <w:r w:rsidRPr="00082AED">
        <w:rPr>
          <w:color w:val="000000" w:themeColor="text1"/>
        </w:rPr>
        <w:t xml:space="preserve">Water quality ordinances </w:t>
      </w:r>
      <w:r w:rsidR="00D0644D" w:rsidRPr="00082AED">
        <w:rPr>
          <w:color w:val="000000" w:themeColor="text1"/>
        </w:rPr>
        <w:t>ha</w:t>
      </w:r>
      <w:r w:rsidRPr="00082AED">
        <w:rPr>
          <w:color w:val="000000" w:themeColor="text1"/>
        </w:rPr>
        <w:t>ve</w:t>
      </w:r>
      <w:r w:rsidR="00D0644D" w:rsidRPr="00082AED">
        <w:rPr>
          <w:color w:val="000000" w:themeColor="text1"/>
        </w:rPr>
        <w:t xml:space="preserve"> affected the Amish communities in many areas</w:t>
      </w:r>
      <w:r w:rsidRPr="00082AED">
        <w:rPr>
          <w:color w:val="000000" w:themeColor="text1"/>
        </w:rPr>
        <w:t xml:space="preserve"> of the state</w:t>
      </w:r>
      <w:r w:rsidR="00D0644D" w:rsidRPr="00082AED">
        <w:rPr>
          <w:color w:val="000000" w:themeColor="text1"/>
        </w:rPr>
        <w:t xml:space="preserve"> </w:t>
      </w:r>
      <w:r w:rsidRPr="00082AED">
        <w:rPr>
          <w:color w:val="000000" w:themeColor="text1"/>
        </w:rPr>
        <w:t>because some Amish farming and waste disposal practices create environmental concerns.</w:t>
      </w:r>
      <w:r w:rsidRPr="00082AED">
        <w:rPr>
          <w:rStyle w:val="FootnoteReference"/>
          <w:color w:val="000000" w:themeColor="text1"/>
        </w:rPr>
        <w:footnoteReference w:id="14"/>
      </w:r>
      <w:r w:rsidRPr="00082AED">
        <w:rPr>
          <w:color w:val="000000" w:themeColor="text1"/>
        </w:rPr>
        <w:t xml:space="preserve"> </w:t>
      </w:r>
    </w:p>
    <w:p w14:paraId="45C3D856" w14:textId="2CB9AED4" w:rsidR="00DC4B0D" w:rsidRPr="00082AED" w:rsidRDefault="008F1B88" w:rsidP="00A56859">
      <w:pPr>
        <w:spacing w:line="480" w:lineRule="auto"/>
        <w:ind w:firstLine="270"/>
        <w:rPr>
          <w:color w:val="000000" w:themeColor="text1"/>
        </w:rPr>
      </w:pPr>
      <w:r w:rsidRPr="00082AED">
        <w:rPr>
          <w:i/>
          <w:color w:val="000000" w:themeColor="text1"/>
        </w:rPr>
        <w:t xml:space="preserve">Sugar Grove Township v. Byler </w:t>
      </w:r>
      <w:r w:rsidRPr="00082AED">
        <w:rPr>
          <w:color w:val="000000" w:themeColor="text1"/>
        </w:rPr>
        <w:t xml:space="preserve"> was one of several legal cases in Sugar Grove Township, Warren County</w:t>
      </w:r>
      <w:r w:rsidR="00A56859" w:rsidRPr="00082AED">
        <w:rPr>
          <w:color w:val="000000" w:themeColor="text1"/>
        </w:rPr>
        <w:t xml:space="preserve"> that dealt with Amish sewage practices and water quality</w:t>
      </w:r>
      <w:r w:rsidRPr="00082AED">
        <w:rPr>
          <w:color w:val="000000" w:themeColor="text1"/>
        </w:rPr>
        <w:t>.</w:t>
      </w:r>
      <w:r w:rsidRPr="00082AED">
        <w:rPr>
          <w:rStyle w:val="FootnoteReference"/>
          <w:color w:val="000000" w:themeColor="text1"/>
        </w:rPr>
        <w:footnoteReference w:id="15"/>
      </w:r>
      <w:r w:rsidRPr="00082AED">
        <w:rPr>
          <w:color w:val="000000" w:themeColor="text1"/>
        </w:rPr>
        <w:t xml:space="preserve"> </w:t>
      </w:r>
      <w:r w:rsidR="00B06DB7" w:rsidRPr="00082AED">
        <w:rPr>
          <w:color w:val="000000" w:themeColor="text1"/>
        </w:rPr>
        <w:t xml:space="preserve"> </w:t>
      </w:r>
      <w:r w:rsidR="00092FF7" w:rsidRPr="00082AED">
        <w:rPr>
          <w:color w:val="000000" w:themeColor="text1"/>
        </w:rPr>
        <w:t xml:space="preserve">The Byler family </w:t>
      </w:r>
      <w:r w:rsidR="00F13D97" w:rsidRPr="00082AED">
        <w:rPr>
          <w:color w:val="000000" w:themeColor="text1"/>
        </w:rPr>
        <w:t xml:space="preserve">is a </w:t>
      </w:r>
      <w:r w:rsidR="00092FF7" w:rsidRPr="00082AED">
        <w:rPr>
          <w:color w:val="000000" w:themeColor="text1"/>
        </w:rPr>
        <w:t>member of the Old Order Amish community that thrives in the Sugar Grove area.</w:t>
      </w:r>
      <w:r w:rsidR="00092FF7" w:rsidRPr="00082AED">
        <w:rPr>
          <w:rStyle w:val="FootnoteReference"/>
          <w:color w:val="000000" w:themeColor="text1"/>
        </w:rPr>
        <w:footnoteReference w:id="16"/>
      </w:r>
      <w:r w:rsidR="00092FF7" w:rsidRPr="00082AED">
        <w:rPr>
          <w:color w:val="000000" w:themeColor="text1"/>
        </w:rPr>
        <w:t xml:space="preserve"> </w:t>
      </w:r>
      <w:r w:rsidR="00B06DB7" w:rsidRPr="00082AED">
        <w:rPr>
          <w:color w:val="000000" w:themeColor="text1"/>
        </w:rPr>
        <w:t xml:space="preserve"> </w:t>
      </w:r>
      <w:r w:rsidR="00DC4B0D" w:rsidRPr="00082AED">
        <w:rPr>
          <w:color w:val="000000" w:themeColor="text1"/>
        </w:rPr>
        <w:t xml:space="preserve">The </w:t>
      </w:r>
      <w:r w:rsidR="00DC4B0D" w:rsidRPr="00082AED">
        <w:rPr>
          <w:color w:val="000000" w:themeColor="text1"/>
        </w:rPr>
        <w:lastRenderedPageBreak/>
        <w:t>religious beliefs of the Byler family’s order do not permit the use of electricity or water under pressure.</w:t>
      </w:r>
      <w:r w:rsidR="00DC4B0D" w:rsidRPr="00082AED">
        <w:rPr>
          <w:rStyle w:val="FootnoteReference"/>
          <w:color w:val="000000" w:themeColor="text1"/>
        </w:rPr>
        <w:footnoteReference w:id="17"/>
      </w:r>
      <w:r w:rsidR="00DC4B0D" w:rsidRPr="00082AED">
        <w:rPr>
          <w:color w:val="000000" w:themeColor="text1"/>
        </w:rPr>
        <w:t xml:space="preserve"> </w:t>
      </w:r>
      <w:r w:rsidR="00B06DB7" w:rsidRPr="00082AED">
        <w:rPr>
          <w:color w:val="000000" w:themeColor="text1"/>
        </w:rPr>
        <w:t xml:space="preserve"> </w:t>
      </w:r>
      <w:r w:rsidR="00DC4B0D" w:rsidRPr="00082AED">
        <w:rPr>
          <w:color w:val="000000" w:themeColor="text1"/>
        </w:rPr>
        <w:t xml:space="preserve">To use these amenities would cause the family to be excommunicated from their </w:t>
      </w:r>
      <w:r w:rsidR="00757A6F" w:rsidRPr="00082AED">
        <w:rPr>
          <w:color w:val="000000" w:themeColor="text1"/>
        </w:rPr>
        <w:t xml:space="preserve">order and shunned by the </w:t>
      </w:r>
      <w:r w:rsidR="00DC4B0D" w:rsidRPr="00082AED">
        <w:rPr>
          <w:color w:val="000000" w:themeColor="text1"/>
        </w:rPr>
        <w:t>community.</w:t>
      </w:r>
      <w:r w:rsidR="00DC4B0D" w:rsidRPr="00082AED">
        <w:rPr>
          <w:rStyle w:val="FootnoteReference"/>
          <w:color w:val="000000" w:themeColor="text1"/>
        </w:rPr>
        <w:footnoteReference w:id="18"/>
      </w:r>
    </w:p>
    <w:p w14:paraId="5D8567AA" w14:textId="1C1729C3" w:rsidR="00092FF7" w:rsidRPr="00082AED" w:rsidRDefault="00DC4B0D" w:rsidP="00150C8D">
      <w:pPr>
        <w:spacing w:line="480" w:lineRule="auto"/>
        <w:ind w:firstLine="270"/>
        <w:rPr>
          <w:color w:val="000000" w:themeColor="text1"/>
        </w:rPr>
      </w:pPr>
      <w:r w:rsidRPr="00082AED">
        <w:rPr>
          <w:color w:val="000000" w:themeColor="text1"/>
        </w:rPr>
        <w:t xml:space="preserve">The Byler family owned property </w:t>
      </w:r>
      <w:r w:rsidR="007B1EE0" w:rsidRPr="00082AED">
        <w:rPr>
          <w:color w:val="000000" w:themeColor="text1"/>
        </w:rPr>
        <w:t>on Wilson Road in Sugar Grove Township prior to March 22, 1990.</w:t>
      </w:r>
      <w:r w:rsidR="007B1EE0" w:rsidRPr="00082AED">
        <w:rPr>
          <w:rStyle w:val="FootnoteReference"/>
          <w:color w:val="000000" w:themeColor="text1"/>
        </w:rPr>
        <w:footnoteReference w:id="19"/>
      </w:r>
      <w:r w:rsidR="007B1EE0" w:rsidRPr="00082AED">
        <w:rPr>
          <w:color w:val="000000" w:themeColor="text1"/>
        </w:rPr>
        <w:t xml:space="preserve"> </w:t>
      </w:r>
      <w:r w:rsidR="00B06DB7" w:rsidRPr="00082AED">
        <w:rPr>
          <w:color w:val="000000" w:themeColor="text1"/>
        </w:rPr>
        <w:t xml:space="preserve"> </w:t>
      </w:r>
      <w:r w:rsidR="007B1EE0" w:rsidRPr="00082AED">
        <w:rPr>
          <w:color w:val="000000" w:themeColor="text1"/>
        </w:rPr>
        <w:t xml:space="preserve">It </w:t>
      </w:r>
      <w:r w:rsidR="00862966" w:rsidRPr="00082AED">
        <w:rPr>
          <w:color w:val="000000" w:themeColor="text1"/>
        </w:rPr>
        <w:t>was</w:t>
      </w:r>
      <w:r w:rsidR="007B1EE0" w:rsidRPr="00082AED">
        <w:rPr>
          <w:color w:val="000000" w:themeColor="text1"/>
        </w:rPr>
        <w:t xml:space="preserve"> in continuous use as a </w:t>
      </w:r>
      <w:r w:rsidR="00C5316B" w:rsidRPr="00082AED">
        <w:rPr>
          <w:color w:val="000000" w:themeColor="text1"/>
        </w:rPr>
        <w:t xml:space="preserve">Byler family </w:t>
      </w:r>
      <w:r w:rsidR="007B1EE0" w:rsidRPr="00082AED">
        <w:rPr>
          <w:color w:val="000000" w:themeColor="text1"/>
        </w:rPr>
        <w:t xml:space="preserve">residence </w:t>
      </w:r>
      <w:r w:rsidR="00862966" w:rsidRPr="00082AED">
        <w:rPr>
          <w:color w:val="000000" w:themeColor="text1"/>
        </w:rPr>
        <w:t xml:space="preserve">from </w:t>
      </w:r>
      <w:r w:rsidR="007B1EE0" w:rsidRPr="00082AED">
        <w:rPr>
          <w:color w:val="000000" w:themeColor="text1"/>
        </w:rPr>
        <w:t>that time</w:t>
      </w:r>
      <w:r w:rsidR="00862966" w:rsidRPr="00082AED">
        <w:rPr>
          <w:color w:val="000000" w:themeColor="text1"/>
        </w:rPr>
        <w:t xml:space="preserve"> through the proceedings in </w:t>
      </w:r>
      <w:r w:rsidR="00C5316B" w:rsidRPr="00082AED">
        <w:rPr>
          <w:i/>
          <w:color w:val="000000" w:themeColor="text1"/>
        </w:rPr>
        <w:t>Sugar Grove Township v. Byler</w:t>
      </w:r>
      <w:r w:rsidR="007B1EE0" w:rsidRPr="00082AED">
        <w:rPr>
          <w:color w:val="000000" w:themeColor="text1"/>
        </w:rPr>
        <w:t>.</w:t>
      </w:r>
      <w:r w:rsidR="007B1EE0" w:rsidRPr="00082AED">
        <w:rPr>
          <w:rStyle w:val="FootnoteReference"/>
          <w:color w:val="000000" w:themeColor="text1"/>
        </w:rPr>
        <w:footnoteReference w:id="20"/>
      </w:r>
      <w:r w:rsidR="007B1EE0" w:rsidRPr="00082AED">
        <w:rPr>
          <w:color w:val="000000" w:themeColor="text1"/>
        </w:rPr>
        <w:t xml:space="preserve"> </w:t>
      </w:r>
      <w:r w:rsidR="00B06DB7" w:rsidRPr="00082AED">
        <w:rPr>
          <w:color w:val="000000" w:themeColor="text1"/>
        </w:rPr>
        <w:t xml:space="preserve"> </w:t>
      </w:r>
      <w:r w:rsidRPr="00082AED">
        <w:rPr>
          <w:color w:val="000000" w:themeColor="text1"/>
        </w:rPr>
        <w:t>In 1997, members of the Byler family conveyed the Wilson Road property to Iva H. and Benjamin J. Byler, husband and wife.</w:t>
      </w:r>
      <w:r w:rsidR="007B1EE0" w:rsidRPr="00082AED">
        <w:rPr>
          <w:rStyle w:val="FootnoteReference"/>
          <w:color w:val="000000" w:themeColor="text1"/>
        </w:rPr>
        <w:footnoteReference w:id="21"/>
      </w:r>
      <w:r w:rsidR="007B1EE0" w:rsidRPr="00082AED">
        <w:rPr>
          <w:color w:val="000000" w:themeColor="text1"/>
        </w:rPr>
        <w:t xml:space="preserve"> </w:t>
      </w:r>
      <w:r w:rsidR="00B06DB7" w:rsidRPr="00082AED">
        <w:rPr>
          <w:color w:val="000000" w:themeColor="text1"/>
        </w:rPr>
        <w:t xml:space="preserve"> </w:t>
      </w:r>
      <w:r w:rsidR="007B1EE0" w:rsidRPr="00082AED">
        <w:rPr>
          <w:color w:val="000000" w:themeColor="text1"/>
        </w:rPr>
        <w:t>Benjamin Byler died, leaving</w:t>
      </w:r>
      <w:r w:rsidR="00C537F3" w:rsidRPr="00082AED">
        <w:rPr>
          <w:color w:val="000000" w:themeColor="text1"/>
        </w:rPr>
        <w:t xml:space="preserve"> ownership of</w:t>
      </w:r>
      <w:r w:rsidR="007B1EE0" w:rsidRPr="00082AED">
        <w:rPr>
          <w:color w:val="000000" w:themeColor="text1"/>
        </w:rPr>
        <w:t xml:space="preserve"> the property </w:t>
      </w:r>
      <w:r w:rsidR="00C537F3" w:rsidRPr="00082AED">
        <w:rPr>
          <w:color w:val="000000" w:themeColor="text1"/>
        </w:rPr>
        <w:t>to</w:t>
      </w:r>
      <w:r w:rsidR="007B1EE0" w:rsidRPr="00082AED">
        <w:rPr>
          <w:color w:val="000000" w:themeColor="text1"/>
        </w:rPr>
        <w:t xml:space="preserve"> Iva, who subsequently executed a quitclaim deed to the Little Ash Trust.</w:t>
      </w:r>
      <w:r w:rsidR="007B1EE0" w:rsidRPr="00082AED">
        <w:rPr>
          <w:rStyle w:val="FootnoteReference"/>
          <w:color w:val="000000" w:themeColor="text1"/>
        </w:rPr>
        <w:footnoteReference w:id="22"/>
      </w:r>
      <w:r w:rsidR="007B1EE0" w:rsidRPr="00082AED">
        <w:rPr>
          <w:color w:val="000000" w:themeColor="text1"/>
        </w:rPr>
        <w:t xml:space="preserve"> </w:t>
      </w:r>
      <w:r w:rsidR="00B06DB7" w:rsidRPr="00082AED">
        <w:rPr>
          <w:color w:val="000000" w:themeColor="text1"/>
        </w:rPr>
        <w:t xml:space="preserve"> </w:t>
      </w:r>
      <w:r w:rsidR="007B1EE0" w:rsidRPr="00082AED">
        <w:rPr>
          <w:color w:val="000000" w:themeColor="text1"/>
        </w:rPr>
        <w:t xml:space="preserve">As </w:t>
      </w:r>
      <w:r w:rsidR="003C6345" w:rsidRPr="00082AED">
        <w:rPr>
          <w:color w:val="000000" w:themeColor="text1"/>
        </w:rPr>
        <w:t>T</w:t>
      </w:r>
      <w:r w:rsidR="007B1EE0" w:rsidRPr="00082AED">
        <w:rPr>
          <w:color w:val="000000" w:themeColor="text1"/>
        </w:rPr>
        <w:t>rustee of the Little Ash Trust, Mrs. Byler continued to reside on the property with her ten children.</w:t>
      </w:r>
      <w:r w:rsidR="007B1EE0" w:rsidRPr="00082AED">
        <w:rPr>
          <w:rStyle w:val="FootnoteReference"/>
          <w:color w:val="000000" w:themeColor="text1"/>
        </w:rPr>
        <w:footnoteReference w:id="23"/>
      </w:r>
      <w:r w:rsidR="007B1EE0" w:rsidRPr="00082AED">
        <w:rPr>
          <w:color w:val="000000" w:themeColor="text1"/>
        </w:rPr>
        <w:t xml:space="preserve"> She occupied a dwelling with a one-inch gravity-fed pipe coming into her kitchen from a nearby spring.</w:t>
      </w:r>
      <w:r w:rsidR="003C6345" w:rsidRPr="00082AED">
        <w:rPr>
          <w:rStyle w:val="FootnoteReference"/>
          <w:color w:val="000000" w:themeColor="text1"/>
        </w:rPr>
        <w:footnoteReference w:id="24"/>
      </w:r>
      <w:r w:rsidR="003C6345" w:rsidRPr="00082AED">
        <w:rPr>
          <w:color w:val="000000" w:themeColor="text1"/>
        </w:rPr>
        <w:t xml:space="preserve"> </w:t>
      </w:r>
      <w:r w:rsidR="00B06DB7" w:rsidRPr="00082AED">
        <w:rPr>
          <w:color w:val="000000" w:themeColor="text1"/>
        </w:rPr>
        <w:t xml:space="preserve"> </w:t>
      </w:r>
      <w:r w:rsidR="003C6345" w:rsidRPr="00082AED">
        <w:rPr>
          <w:color w:val="000000" w:themeColor="text1"/>
        </w:rPr>
        <w:t xml:space="preserve">For </w:t>
      </w:r>
      <w:r w:rsidR="00717BA7" w:rsidRPr="00082AED">
        <w:rPr>
          <w:color w:val="000000" w:themeColor="text1"/>
        </w:rPr>
        <w:t xml:space="preserve">its </w:t>
      </w:r>
      <w:r w:rsidR="003C6345" w:rsidRPr="00082AED">
        <w:rPr>
          <w:color w:val="000000" w:themeColor="text1"/>
        </w:rPr>
        <w:t>sanitary facilities</w:t>
      </w:r>
      <w:r w:rsidR="00683ED3" w:rsidRPr="00082AED">
        <w:rPr>
          <w:color w:val="000000" w:themeColor="text1"/>
        </w:rPr>
        <w:t>,</w:t>
      </w:r>
      <w:r w:rsidR="003C6345" w:rsidRPr="00082AED">
        <w:rPr>
          <w:color w:val="000000" w:themeColor="text1"/>
        </w:rPr>
        <w:t xml:space="preserve"> the family used a privy</w:t>
      </w:r>
      <w:r w:rsidR="00A40226" w:rsidRPr="00082AED">
        <w:rPr>
          <w:color w:val="000000" w:themeColor="text1"/>
        </w:rPr>
        <w:t xml:space="preserve"> installed near the residence, which held </w:t>
      </w:r>
      <w:r w:rsidR="00150C8D" w:rsidRPr="00082AED">
        <w:rPr>
          <w:color w:val="000000" w:themeColor="text1"/>
        </w:rPr>
        <w:t xml:space="preserve">human </w:t>
      </w:r>
      <w:r w:rsidR="00A40226" w:rsidRPr="00082AED">
        <w:rPr>
          <w:color w:val="000000" w:themeColor="text1"/>
        </w:rPr>
        <w:t>waste in an underground chamber that was pumped out at regular intervals and disposed of by a waste hauler.</w:t>
      </w:r>
      <w:r w:rsidR="00A40226" w:rsidRPr="00082AED">
        <w:rPr>
          <w:rStyle w:val="FootnoteReference"/>
          <w:color w:val="000000" w:themeColor="text1"/>
        </w:rPr>
        <w:footnoteReference w:id="25"/>
      </w:r>
      <w:r w:rsidR="00A40226" w:rsidRPr="00082AED">
        <w:rPr>
          <w:color w:val="000000" w:themeColor="text1"/>
        </w:rPr>
        <w:t xml:space="preserve"> </w:t>
      </w:r>
      <w:r w:rsidR="00B06DB7" w:rsidRPr="00082AED">
        <w:rPr>
          <w:color w:val="000000" w:themeColor="text1"/>
        </w:rPr>
        <w:t xml:space="preserve"> </w:t>
      </w:r>
      <w:r w:rsidR="00A40226" w:rsidRPr="00082AED">
        <w:rPr>
          <w:color w:val="000000" w:themeColor="text1"/>
        </w:rPr>
        <w:t xml:space="preserve">Two “temporary” residential buildings </w:t>
      </w:r>
      <w:r w:rsidR="006A5C0A" w:rsidRPr="00082AED">
        <w:rPr>
          <w:color w:val="000000" w:themeColor="text1"/>
        </w:rPr>
        <w:t>were</w:t>
      </w:r>
      <w:r w:rsidR="00A40226" w:rsidRPr="00082AED">
        <w:rPr>
          <w:color w:val="000000" w:themeColor="text1"/>
        </w:rPr>
        <w:t xml:space="preserve"> constructed on the property for </w:t>
      </w:r>
      <w:r w:rsidR="00717BA7" w:rsidRPr="00082AED">
        <w:rPr>
          <w:color w:val="000000" w:themeColor="text1"/>
        </w:rPr>
        <w:t>Mrs. Byler’s</w:t>
      </w:r>
      <w:r w:rsidR="00A40226" w:rsidRPr="00082AED">
        <w:rPr>
          <w:color w:val="000000" w:themeColor="text1"/>
        </w:rPr>
        <w:t xml:space="preserve"> married sons to occupy until they could purchase property of their own.</w:t>
      </w:r>
      <w:r w:rsidR="00A40226" w:rsidRPr="00082AED">
        <w:rPr>
          <w:rStyle w:val="FootnoteReference"/>
          <w:color w:val="000000" w:themeColor="text1"/>
        </w:rPr>
        <w:footnoteReference w:id="26"/>
      </w:r>
    </w:p>
    <w:p w14:paraId="0B81EA23" w14:textId="604F6AE3" w:rsidR="00AA3FBE" w:rsidRDefault="001D1934" w:rsidP="00AA3FBE">
      <w:pPr>
        <w:spacing w:line="480" w:lineRule="auto"/>
        <w:ind w:firstLine="360"/>
        <w:rPr>
          <w:color w:val="000000" w:themeColor="text1"/>
        </w:rPr>
      </w:pPr>
      <w:r w:rsidRPr="00082AED">
        <w:rPr>
          <w:color w:val="000000" w:themeColor="text1"/>
        </w:rPr>
        <w:t>In</w:t>
      </w:r>
      <w:r w:rsidR="00717BA7" w:rsidRPr="00082AED">
        <w:rPr>
          <w:color w:val="000000" w:themeColor="text1"/>
        </w:rPr>
        <w:t xml:space="preserve"> the meantime</w:t>
      </w:r>
      <w:r w:rsidR="00683ED3" w:rsidRPr="00082AED">
        <w:rPr>
          <w:color w:val="000000" w:themeColor="text1"/>
        </w:rPr>
        <w:t xml:space="preserve">, </w:t>
      </w:r>
      <w:r w:rsidR="00350F63" w:rsidRPr="00082AED">
        <w:rPr>
          <w:color w:val="000000" w:themeColor="text1"/>
        </w:rPr>
        <w:t xml:space="preserve">in 1993 </w:t>
      </w:r>
      <w:r w:rsidRPr="00082AED">
        <w:rPr>
          <w:color w:val="000000" w:themeColor="text1"/>
        </w:rPr>
        <w:t>Sugar Grove Township passed its first ordinance</w:t>
      </w:r>
      <w:r w:rsidR="00717BA7" w:rsidRPr="00082AED">
        <w:rPr>
          <w:color w:val="000000" w:themeColor="text1"/>
        </w:rPr>
        <w:t xml:space="preserve"> </w:t>
      </w:r>
      <w:r w:rsidR="008F1B88" w:rsidRPr="00082AED">
        <w:rPr>
          <w:color w:val="000000" w:themeColor="text1"/>
        </w:rPr>
        <w:t xml:space="preserve">to regulate outdoor human waste facilities in areas </w:t>
      </w:r>
      <w:r w:rsidR="00F7412F" w:rsidRPr="00082AED">
        <w:rPr>
          <w:color w:val="000000" w:themeColor="text1"/>
        </w:rPr>
        <w:t xml:space="preserve">of the township </w:t>
      </w:r>
      <w:r w:rsidR="008F1B88" w:rsidRPr="00082AED">
        <w:rPr>
          <w:color w:val="000000" w:themeColor="text1"/>
        </w:rPr>
        <w:t>without an “under pressure” water supply.</w:t>
      </w:r>
      <w:r w:rsidRPr="00082AED">
        <w:rPr>
          <w:rStyle w:val="FootnoteReference"/>
          <w:color w:val="000000" w:themeColor="text1"/>
        </w:rPr>
        <w:footnoteReference w:id="27"/>
      </w:r>
      <w:r w:rsidR="00B61964" w:rsidRPr="00082AED">
        <w:rPr>
          <w:color w:val="000000" w:themeColor="text1"/>
        </w:rPr>
        <w:t xml:space="preserve"> </w:t>
      </w:r>
      <w:r w:rsidR="00B06DB7" w:rsidRPr="00082AED">
        <w:rPr>
          <w:color w:val="000000" w:themeColor="text1"/>
        </w:rPr>
        <w:t xml:space="preserve"> </w:t>
      </w:r>
      <w:r w:rsidR="00350F63" w:rsidRPr="00082AED">
        <w:rPr>
          <w:color w:val="000000" w:themeColor="text1"/>
        </w:rPr>
        <w:t xml:space="preserve">The ordinance defined privy as “a watertight receptacle, whether permanent or </w:t>
      </w:r>
      <w:r w:rsidR="00350F63" w:rsidRPr="00082AED">
        <w:rPr>
          <w:color w:val="000000" w:themeColor="text1"/>
        </w:rPr>
        <w:lastRenderedPageBreak/>
        <w:t>temporary, which receives and retains sewage where water under pressure or piped waste water is not available and is designed  and constructed to facilitate the ultimate disposal of the sewage at another site.”</w:t>
      </w:r>
      <w:r w:rsidR="00350F63" w:rsidRPr="00082AED">
        <w:rPr>
          <w:rStyle w:val="FootnoteReference"/>
          <w:color w:val="000000" w:themeColor="text1"/>
        </w:rPr>
        <w:footnoteReference w:id="28"/>
      </w:r>
      <w:r w:rsidR="00350F63" w:rsidRPr="00082AED">
        <w:rPr>
          <w:color w:val="000000" w:themeColor="text1"/>
        </w:rPr>
        <w:t xml:space="preserve"> </w:t>
      </w:r>
      <w:r w:rsidR="00B06DB7" w:rsidRPr="00082AED">
        <w:rPr>
          <w:color w:val="000000" w:themeColor="text1"/>
        </w:rPr>
        <w:t xml:space="preserve"> </w:t>
      </w:r>
      <w:r w:rsidR="00350F63" w:rsidRPr="00082AED">
        <w:rPr>
          <w:color w:val="000000" w:themeColor="text1"/>
        </w:rPr>
        <w:t>The Sugar Grove Township “Privy Ordinance” required a site plan and construction standards as well as the purchase of a permit to operate a privy.</w:t>
      </w:r>
      <w:r w:rsidR="00350F63" w:rsidRPr="00082AED">
        <w:rPr>
          <w:rStyle w:val="FootnoteReference"/>
          <w:color w:val="000000" w:themeColor="text1"/>
        </w:rPr>
        <w:footnoteReference w:id="29"/>
      </w:r>
      <w:r w:rsidR="00B06DB7" w:rsidRPr="00082AED">
        <w:rPr>
          <w:color w:val="000000" w:themeColor="text1"/>
        </w:rPr>
        <w:t xml:space="preserve">  </w:t>
      </w:r>
      <w:r w:rsidR="00350F63" w:rsidRPr="00082AED">
        <w:rPr>
          <w:color w:val="000000" w:themeColor="text1"/>
        </w:rPr>
        <w:t>Significant to this case, the ordinance prohibited use of privies on property served by “water under pressure</w:t>
      </w:r>
      <w:r w:rsidR="00A90EDB">
        <w:rPr>
          <w:color w:val="000000" w:themeColor="text1"/>
        </w:rPr>
        <w:t>”</w:t>
      </w:r>
      <w:r w:rsidR="00350F63" w:rsidRPr="00082AED">
        <w:rPr>
          <w:color w:val="000000" w:themeColor="text1"/>
        </w:rPr>
        <w:t xml:space="preserve"> (including pressure by gravity).”</w:t>
      </w:r>
      <w:r w:rsidR="00350F63" w:rsidRPr="00082AED">
        <w:rPr>
          <w:rStyle w:val="FootnoteReference"/>
          <w:color w:val="000000" w:themeColor="text1"/>
        </w:rPr>
        <w:footnoteReference w:id="30"/>
      </w:r>
      <w:r w:rsidR="00350F63" w:rsidRPr="00082AED">
        <w:rPr>
          <w:color w:val="000000" w:themeColor="text1"/>
        </w:rPr>
        <w:t xml:space="preserve"> </w:t>
      </w:r>
    </w:p>
    <w:p w14:paraId="7D306DBB" w14:textId="7D080FBA" w:rsidR="00A80352" w:rsidRPr="00082AED" w:rsidRDefault="00350F63" w:rsidP="00AA3FBE">
      <w:pPr>
        <w:spacing w:line="480" w:lineRule="auto"/>
        <w:ind w:firstLine="360"/>
        <w:rPr>
          <w:color w:val="000000" w:themeColor="text1"/>
        </w:rPr>
      </w:pPr>
      <w:r w:rsidRPr="00082AED">
        <w:rPr>
          <w:color w:val="000000" w:themeColor="text1"/>
        </w:rPr>
        <w:t>In 2012 the township passed a new ordinance encompassing the 1993 law and expanding it.</w:t>
      </w:r>
      <w:r w:rsidRPr="00082AED">
        <w:rPr>
          <w:rStyle w:val="FootnoteReference"/>
          <w:color w:val="000000" w:themeColor="text1"/>
        </w:rPr>
        <w:footnoteReference w:id="31"/>
      </w:r>
      <w:r w:rsidR="00B06DB7" w:rsidRPr="00082AED">
        <w:rPr>
          <w:color w:val="000000" w:themeColor="text1"/>
        </w:rPr>
        <w:t xml:space="preserve">  </w:t>
      </w:r>
      <w:r w:rsidRPr="00082AED">
        <w:rPr>
          <w:color w:val="000000" w:themeColor="text1"/>
        </w:rPr>
        <w:t>Among its changes, the new law required owners to pump their privies annually on or before June 1 and to deliver a copy of the receipt for pumping to the township.</w:t>
      </w:r>
      <w:r w:rsidRPr="00082AED">
        <w:rPr>
          <w:rStyle w:val="FootnoteReference"/>
          <w:color w:val="000000" w:themeColor="text1"/>
        </w:rPr>
        <w:footnoteReference w:id="32"/>
      </w:r>
      <w:r w:rsidRPr="00082AED">
        <w:rPr>
          <w:color w:val="000000" w:themeColor="text1"/>
        </w:rPr>
        <w:t xml:space="preserve">  It also provided for substantially increased fines and penalties.</w:t>
      </w:r>
      <w:r w:rsidRPr="00082AED">
        <w:rPr>
          <w:rStyle w:val="FootnoteReference"/>
          <w:color w:val="000000" w:themeColor="text1"/>
        </w:rPr>
        <w:footnoteReference w:id="33"/>
      </w:r>
      <w:r w:rsidRPr="00082AED">
        <w:rPr>
          <w:color w:val="000000" w:themeColor="text1"/>
        </w:rPr>
        <w:t xml:space="preserve">  The ordinance required abatement of any nuisance caused by a privy and provided for the assessment of costs the township might incur in enforcing an abatement.</w:t>
      </w:r>
      <w:r w:rsidRPr="00082AED">
        <w:rPr>
          <w:rStyle w:val="FootnoteReference"/>
          <w:color w:val="000000" w:themeColor="text1"/>
        </w:rPr>
        <w:footnoteReference w:id="34"/>
      </w:r>
    </w:p>
    <w:p w14:paraId="06E5C959" w14:textId="0A83DC76" w:rsidR="00350F63" w:rsidRPr="00082AED" w:rsidRDefault="007B1EE0" w:rsidP="00A80352">
      <w:pPr>
        <w:spacing w:line="480" w:lineRule="auto"/>
        <w:ind w:firstLine="360"/>
        <w:rPr>
          <w:rStyle w:val="CommentReference"/>
          <w:color w:val="000000" w:themeColor="text1"/>
        </w:rPr>
      </w:pPr>
      <w:r w:rsidRPr="00082AED">
        <w:rPr>
          <w:color w:val="000000" w:themeColor="text1"/>
        </w:rPr>
        <w:t xml:space="preserve">On August </w:t>
      </w:r>
      <w:r w:rsidR="00A80352" w:rsidRPr="00082AED">
        <w:rPr>
          <w:color w:val="000000" w:themeColor="text1"/>
        </w:rPr>
        <w:t>13</w:t>
      </w:r>
      <w:r w:rsidRPr="00082AED">
        <w:rPr>
          <w:color w:val="000000" w:themeColor="text1"/>
        </w:rPr>
        <w:t>, 2015</w:t>
      </w:r>
      <w:r w:rsidR="00683ED3" w:rsidRPr="00082AED">
        <w:rPr>
          <w:color w:val="000000" w:themeColor="text1"/>
        </w:rPr>
        <w:t>,</w:t>
      </w:r>
      <w:r w:rsidRPr="00082AED">
        <w:rPr>
          <w:color w:val="000000" w:themeColor="text1"/>
        </w:rPr>
        <w:t xml:space="preserve"> </w:t>
      </w:r>
      <w:r w:rsidR="00A80352" w:rsidRPr="00082AED">
        <w:rPr>
          <w:color w:val="000000" w:themeColor="text1"/>
        </w:rPr>
        <w:t>a</w:t>
      </w:r>
      <w:r w:rsidRPr="00082AED">
        <w:rPr>
          <w:color w:val="000000" w:themeColor="text1"/>
        </w:rPr>
        <w:t xml:space="preserve">ction was instituted </w:t>
      </w:r>
      <w:r w:rsidR="00411F35" w:rsidRPr="00082AED">
        <w:rPr>
          <w:color w:val="000000" w:themeColor="text1"/>
        </w:rPr>
        <w:t>agains</w:t>
      </w:r>
      <w:r w:rsidR="003C6345" w:rsidRPr="00082AED">
        <w:rPr>
          <w:color w:val="000000" w:themeColor="text1"/>
        </w:rPr>
        <w:t>t Iva H. Byler individually and as Trustee of the Little Ash Trust</w:t>
      </w:r>
      <w:r w:rsidR="00DB7D80" w:rsidRPr="00082AED">
        <w:rPr>
          <w:color w:val="000000" w:themeColor="text1"/>
        </w:rPr>
        <w:t xml:space="preserve">, </w:t>
      </w:r>
      <w:r w:rsidR="00097B38" w:rsidRPr="00082AED">
        <w:rPr>
          <w:color w:val="000000" w:themeColor="text1"/>
        </w:rPr>
        <w:t>alleging a violation of the Sewage Facilities Act due to the unlawful use of privies</w:t>
      </w:r>
      <w:r w:rsidR="003C6345" w:rsidRPr="00082AED">
        <w:rPr>
          <w:color w:val="000000" w:themeColor="text1"/>
        </w:rPr>
        <w:t>.</w:t>
      </w:r>
      <w:r w:rsidR="003C6345" w:rsidRPr="00082AED">
        <w:rPr>
          <w:rStyle w:val="FootnoteReference"/>
          <w:color w:val="000000" w:themeColor="text1"/>
        </w:rPr>
        <w:footnoteReference w:id="35"/>
      </w:r>
      <w:r w:rsidR="002D7462" w:rsidRPr="00082AED">
        <w:rPr>
          <w:color w:val="000000" w:themeColor="text1"/>
        </w:rPr>
        <w:t xml:space="preserve">  </w:t>
      </w:r>
      <w:r w:rsidR="00350F63" w:rsidRPr="00082AED">
        <w:rPr>
          <w:color w:val="000000" w:themeColor="text1"/>
        </w:rPr>
        <w:t>Because Mrs. Byler’s home was served by a one-inch gravity-fed pipe running from a nearby spring, Sugar Grove Township deemed it to have “water under pressure.”</w:t>
      </w:r>
      <w:r w:rsidR="00350F63" w:rsidRPr="00082AED">
        <w:rPr>
          <w:rStyle w:val="FootnoteReference"/>
          <w:color w:val="000000" w:themeColor="text1"/>
        </w:rPr>
        <w:footnoteReference w:id="36"/>
      </w:r>
      <w:r w:rsidR="00350F63" w:rsidRPr="00082AED">
        <w:rPr>
          <w:color w:val="000000" w:themeColor="text1"/>
        </w:rPr>
        <w:t xml:space="preserve">  The Township declared a nuisance and sought relief in the form of having Mrs. Byler and her family removed from their home.</w:t>
      </w:r>
      <w:r w:rsidR="00350F63" w:rsidRPr="00082AED">
        <w:rPr>
          <w:rStyle w:val="FootnoteReference"/>
          <w:color w:val="000000" w:themeColor="text1"/>
        </w:rPr>
        <w:footnoteReference w:id="37"/>
      </w:r>
      <w:r w:rsidR="00350F63" w:rsidRPr="00082AED">
        <w:rPr>
          <w:color w:val="000000" w:themeColor="text1"/>
        </w:rPr>
        <w:t xml:space="preserve">  An alternative, sought by the Township in other Amish privy cases, would be for the Byler family to remove their privy and connect to the township’s high-pressure </w:t>
      </w:r>
      <w:r w:rsidR="00350F63" w:rsidRPr="00082AED">
        <w:rPr>
          <w:color w:val="000000" w:themeColor="text1"/>
        </w:rPr>
        <w:lastRenderedPageBreak/>
        <w:t>sewer system.</w:t>
      </w:r>
      <w:r w:rsidR="00350F63" w:rsidRPr="00082AED">
        <w:rPr>
          <w:rStyle w:val="FootnoteReference"/>
          <w:color w:val="000000" w:themeColor="text1"/>
        </w:rPr>
        <w:footnoteReference w:id="38"/>
      </w:r>
      <w:r w:rsidR="00350F63" w:rsidRPr="00082AED">
        <w:rPr>
          <w:color w:val="000000" w:themeColor="text1"/>
        </w:rPr>
        <w:t xml:space="preserve">  This would necessitate the use of an electric grinder pump to move the sewage.</w:t>
      </w:r>
      <w:r w:rsidR="00350F63" w:rsidRPr="00082AED">
        <w:rPr>
          <w:rStyle w:val="FootnoteReference"/>
          <w:color w:val="000000" w:themeColor="text1"/>
        </w:rPr>
        <w:footnoteReference w:id="39"/>
      </w:r>
    </w:p>
    <w:p w14:paraId="475D457A" w14:textId="1116F401" w:rsidR="00350F63" w:rsidRPr="00082AED" w:rsidRDefault="00A40226" w:rsidP="00350F63">
      <w:pPr>
        <w:spacing w:line="480" w:lineRule="auto"/>
        <w:ind w:firstLine="270"/>
        <w:rPr>
          <w:color w:val="000000" w:themeColor="text1"/>
        </w:rPr>
      </w:pPr>
      <w:r w:rsidRPr="00082AED">
        <w:rPr>
          <w:color w:val="000000" w:themeColor="text1"/>
        </w:rPr>
        <w:t xml:space="preserve">In the first three counts of its </w:t>
      </w:r>
      <w:r w:rsidR="00F527AD" w:rsidRPr="00082AED">
        <w:rPr>
          <w:color w:val="000000" w:themeColor="text1"/>
        </w:rPr>
        <w:t>c</w:t>
      </w:r>
      <w:r w:rsidRPr="00082AED">
        <w:rPr>
          <w:color w:val="000000" w:themeColor="text1"/>
        </w:rPr>
        <w:t>omplain</w:t>
      </w:r>
      <w:r w:rsidR="00F527AD" w:rsidRPr="00082AED">
        <w:rPr>
          <w:color w:val="000000" w:themeColor="text1"/>
        </w:rPr>
        <w:t>t</w:t>
      </w:r>
      <w:r w:rsidR="00683ED3" w:rsidRPr="00082AED">
        <w:rPr>
          <w:color w:val="000000" w:themeColor="text1"/>
        </w:rPr>
        <w:t>,</w:t>
      </w:r>
      <w:r w:rsidRPr="00082AED">
        <w:rPr>
          <w:color w:val="000000" w:themeColor="text1"/>
        </w:rPr>
        <w:t xml:space="preserve"> the Township sought injunctive relief from the nuisance caused by Mrs. Byler’s failure to obtain the permit and inspection the ordinance required for </w:t>
      </w:r>
      <w:r w:rsidR="00097B38" w:rsidRPr="00082AED">
        <w:rPr>
          <w:color w:val="000000" w:themeColor="text1"/>
        </w:rPr>
        <w:t xml:space="preserve">the </w:t>
      </w:r>
      <w:r w:rsidRPr="00082AED">
        <w:rPr>
          <w:color w:val="000000" w:themeColor="text1"/>
        </w:rPr>
        <w:t xml:space="preserve">privy </w:t>
      </w:r>
      <w:r w:rsidR="00DB7D80" w:rsidRPr="00082AED">
        <w:rPr>
          <w:color w:val="000000" w:themeColor="text1"/>
        </w:rPr>
        <w:t xml:space="preserve">or privies </w:t>
      </w:r>
      <w:r w:rsidRPr="00082AED">
        <w:rPr>
          <w:color w:val="000000" w:themeColor="text1"/>
        </w:rPr>
        <w:t>on her property</w:t>
      </w:r>
      <w:r w:rsidR="008A761B" w:rsidRPr="00082AED">
        <w:rPr>
          <w:color w:val="000000" w:themeColor="text1"/>
        </w:rPr>
        <w:t>.</w:t>
      </w:r>
      <w:r w:rsidR="008A761B" w:rsidRPr="00082AED">
        <w:rPr>
          <w:rStyle w:val="FootnoteReference"/>
          <w:color w:val="000000" w:themeColor="text1"/>
        </w:rPr>
        <w:footnoteReference w:id="40"/>
      </w:r>
      <w:r w:rsidRPr="00082AED">
        <w:rPr>
          <w:color w:val="000000" w:themeColor="text1"/>
        </w:rPr>
        <w:t xml:space="preserve"> </w:t>
      </w:r>
      <w:r w:rsidR="002D7462" w:rsidRPr="00082AED">
        <w:rPr>
          <w:color w:val="000000" w:themeColor="text1"/>
        </w:rPr>
        <w:t xml:space="preserve"> </w:t>
      </w:r>
      <w:r w:rsidR="008A761B" w:rsidRPr="00082AED">
        <w:rPr>
          <w:color w:val="000000" w:themeColor="text1"/>
        </w:rPr>
        <w:t xml:space="preserve">The second count would </w:t>
      </w:r>
      <w:r w:rsidRPr="00082AED">
        <w:rPr>
          <w:color w:val="000000" w:themeColor="text1"/>
        </w:rPr>
        <w:t>require her to get the permits and inspection</w:t>
      </w:r>
      <w:r w:rsidR="00C76E44" w:rsidRPr="00082AED">
        <w:rPr>
          <w:color w:val="000000" w:themeColor="text1"/>
        </w:rPr>
        <w:t xml:space="preserve"> for her property</w:t>
      </w:r>
      <w:r w:rsidR="008A761B" w:rsidRPr="00082AED">
        <w:rPr>
          <w:color w:val="000000" w:themeColor="text1"/>
        </w:rPr>
        <w:t>.</w:t>
      </w:r>
      <w:r w:rsidR="008A761B" w:rsidRPr="00082AED">
        <w:rPr>
          <w:rStyle w:val="FootnoteReference"/>
          <w:color w:val="000000" w:themeColor="text1"/>
        </w:rPr>
        <w:footnoteReference w:id="41"/>
      </w:r>
      <w:r w:rsidR="002D7462" w:rsidRPr="00082AED">
        <w:rPr>
          <w:color w:val="000000" w:themeColor="text1"/>
        </w:rPr>
        <w:t xml:space="preserve">  </w:t>
      </w:r>
      <w:r w:rsidR="00AE5D89">
        <w:rPr>
          <w:color w:val="000000" w:themeColor="text1"/>
        </w:rPr>
        <w:t>Count three would</w:t>
      </w:r>
      <w:r w:rsidR="008A761B" w:rsidRPr="00082AED">
        <w:rPr>
          <w:color w:val="000000" w:themeColor="text1"/>
        </w:rPr>
        <w:t xml:space="preserve"> </w:t>
      </w:r>
      <w:r w:rsidRPr="00082AED">
        <w:rPr>
          <w:color w:val="000000" w:themeColor="text1"/>
        </w:rPr>
        <w:t xml:space="preserve">require her to </w:t>
      </w:r>
      <w:r w:rsidR="00AE5D89">
        <w:rPr>
          <w:color w:val="000000" w:themeColor="text1"/>
        </w:rPr>
        <w:t>abate the nuisance under</w:t>
      </w:r>
      <w:r w:rsidRPr="00082AED">
        <w:rPr>
          <w:color w:val="000000" w:themeColor="text1"/>
        </w:rPr>
        <w:t xml:space="preserve"> the </w:t>
      </w:r>
      <w:r w:rsidR="00AE5D89">
        <w:rPr>
          <w:color w:val="000000" w:themeColor="text1"/>
        </w:rPr>
        <w:t>Sewage Facilities Act, likely</w:t>
      </w:r>
      <w:r w:rsidR="00C76E44" w:rsidRPr="00082AED">
        <w:rPr>
          <w:color w:val="000000" w:themeColor="text1"/>
        </w:rPr>
        <w:t xml:space="preserve"> </w:t>
      </w:r>
      <w:r w:rsidR="008A761B" w:rsidRPr="00082AED">
        <w:rPr>
          <w:color w:val="000000" w:themeColor="text1"/>
        </w:rPr>
        <w:t xml:space="preserve">by </w:t>
      </w:r>
      <w:r w:rsidR="00AE5D89">
        <w:rPr>
          <w:color w:val="000000" w:themeColor="text1"/>
        </w:rPr>
        <w:t xml:space="preserve">either leaving the property or </w:t>
      </w:r>
      <w:r w:rsidR="00C76E44" w:rsidRPr="00082AED">
        <w:rPr>
          <w:color w:val="000000" w:themeColor="text1"/>
        </w:rPr>
        <w:t>hooking up to the sanitary sewer system and installing the electric grinder pump necessary to do so</w:t>
      </w:r>
      <w:r w:rsidR="00397ADF" w:rsidRPr="00082AED">
        <w:rPr>
          <w:color w:val="000000" w:themeColor="text1"/>
        </w:rPr>
        <w:t>.</w:t>
      </w:r>
      <w:r w:rsidRPr="00082AED">
        <w:rPr>
          <w:rStyle w:val="FootnoteReference"/>
          <w:color w:val="000000" w:themeColor="text1"/>
        </w:rPr>
        <w:footnoteReference w:id="42"/>
      </w:r>
      <w:r w:rsidRPr="00082AED">
        <w:rPr>
          <w:color w:val="000000" w:themeColor="text1"/>
        </w:rPr>
        <w:t xml:space="preserve"> </w:t>
      </w:r>
      <w:r w:rsidR="002D7462" w:rsidRPr="00082AED">
        <w:rPr>
          <w:color w:val="000000" w:themeColor="text1"/>
        </w:rPr>
        <w:t xml:space="preserve"> </w:t>
      </w:r>
      <w:r w:rsidRPr="00082AED">
        <w:rPr>
          <w:color w:val="000000" w:themeColor="text1"/>
        </w:rPr>
        <w:t xml:space="preserve">Count </w:t>
      </w:r>
      <w:r w:rsidR="00AC7CFD" w:rsidRPr="00082AED">
        <w:rPr>
          <w:color w:val="000000" w:themeColor="text1"/>
        </w:rPr>
        <w:t xml:space="preserve">four </w:t>
      </w:r>
      <w:r w:rsidR="00397ADF" w:rsidRPr="00082AED">
        <w:rPr>
          <w:color w:val="000000" w:themeColor="text1"/>
        </w:rPr>
        <w:t xml:space="preserve">alleged that the temporary structures </w:t>
      </w:r>
      <w:r w:rsidR="00C76E44" w:rsidRPr="00082AED">
        <w:rPr>
          <w:color w:val="000000" w:themeColor="text1"/>
        </w:rPr>
        <w:t xml:space="preserve">on the property </w:t>
      </w:r>
      <w:r w:rsidR="00397ADF" w:rsidRPr="00082AED">
        <w:rPr>
          <w:color w:val="000000" w:themeColor="text1"/>
        </w:rPr>
        <w:t xml:space="preserve">were in violation of the Uniform Construction Code, and </w:t>
      </w:r>
      <w:r w:rsidR="00AC7CFD" w:rsidRPr="00082AED">
        <w:rPr>
          <w:color w:val="000000" w:themeColor="text1"/>
        </w:rPr>
        <w:t>c</w:t>
      </w:r>
      <w:r w:rsidR="00397ADF" w:rsidRPr="00082AED">
        <w:rPr>
          <w:color w:val="000000" w:themeColor="text1"/>
        </w:rPr>
        <w:t xml:space="preserve">ount </w:t>
      </w:r>
      <w:r w:rsidR="00AC7CFD" w:rsidRPr="00082AED">
        <w:rPr>
          <w:color w:val="000000" w:themeColor="text1"/>
        </w:rPr>
        <w:t xml:space="preserve">five </w:t>
      </w:r>
      <w:r w:rsidRPr="00082AED">
        <w:rPr>
          <w:color w:val="000000" w:themeColor="text1"/>
        </w:rPr>
        <w:t xml:space="preserve">sought </w:t>
      </w:r>
      <w:r w:rsidR="00397ADF" w:rsidRPr="00082AED">
        <w:rPr>
          <w:color w:val="000000" w:themeColor="text1"/>
        </w:rPr>
        <w:t>to remove Mrs. Byler and her family from their residences until all alleged violations had been corrected.</w:t>
      </w:r>
      <w:r w:rsidR="00397ADF" w:rsidRPr="00082AED">
        <w:rPr>
          <w:rStyle w:val="FootnoteReference"/>
          <w:color w:val="000000" w:themeColor="text1"/>
        </w:rPr>
        <w:footnoteReference w:id="43"/>
      </w:r>
      <w:r w:rsidR="00397ADF" w:rsidRPr="00082AED">
        <w:rPr>
          <w:color w:val="000000" w:themeColor="text1"/>
        </w:rPr>
        <w:t xml:space="preserve"> </w:t>
      </w:r>
      <w:r w:rsidR="002D7462" w:rsidRPr="00082AED">
        <w:rPr>
          <w:color w:val="000000" w:themeColor="text1"/>
        </w:rPr>
        <w:t xml:space="preserve"> </w:t>
      </w:r>
      <w:r w:rsidR="00397ADF" w:rsidRPr="00082AED">
        <w:rPr>
          <w:color w:val="000000" w:themeColor="text1"/>
        </w:rPr>
        <w:t>A trial began on October 27, 2016 before the Honorable Maureen A. Skerda, President Judge of the 37</w:t>
      </w:r>
      <w:r w:rsidR="00397ADF" w:rsidRPr="00082AED">
        <w:rPr>
          <w:color w:val="000000" w:themeColor="text1"/>
          <w:vertAlign w:val="superscript"/>
        </w:rPr>
        <w:t>th</w:t>
      </w:r>
      <w:r w:rsidR="00397ADF" w:rsidRPr="00082AED">
        <w:rPr>
          <w:color w:val="000000" w:themeColor="text1"/>
        </w:rPr>
        <w:t xml:space="preserve"> Judicial District of Pennsylvania, Warren County Branch.</w:t>
      </w:r>
      <w:r w:rsidR="00397ADF" w:rsidRPr="00082AED">
        <w:rPr>
          <w:rStyle w:val="FootnoteReference"/>
          <w:color w:val="000000" w:themeColor="text1"/>
        </w:rPr>
        <w:footnoteReference w:id="44"/>
      </w:r>
      <w:r w:rsidR="00B06DB7" w:rsidRPr="00082AED">
        <w:rPr>
          <w:color w:val="000000" w:themeColor="text1"/>
        </w:rPr>
        <w:t xml:space="preserve">  </w:t>
      </w:r>
      <w:r w:rsidR="00397ADF" w:rsidRPr="00082AED">
        <w:rPr>
          <w:color w:val="000000" w:themeColor="text1"/>
        </w:rPr>
        <w:t xml:space="preserve">The trial was </w:t>
      </w:r>
      <w:r w:rsidR="00550FBF" w:rsidRPr="00082AED">
        <w:rPr>
          <w:color w:val="000000" w:themeColor="text1"/>
        </w:rPr>
        <w:t>adjourned</w:t>
      </w:r>
      <w:r w:rsidR="00397ADF" w:rsidRPr="00082AED">
        <w:rPr>
          <w:color w:val="000000" w:themeColor="text1"/>
        </w:rPr>
        <w:t xml:space="preserve"> and reconvened on December 1</w:t>
      </w:r>
      <w:r w:rsidR="00683ED3" w:rsidRPr="00082AED">
        <w:rPr>
          <w:color w:val="000000" w:themeColor="text1"/>
        </w:rPr>
        <w:t>, 2016</w:t>
      </w:r>
      <w:r w:rsidR="00C76E44" w:rsidRPr="00082AED">
        <w:rPr>
          <w:color w:val="000000" w:themeColor="text1"/>
        </w:rPr>
        <w:t>.</w:t>
      </w:r>
      <w:r w:rsidR="00C76E44" w:rsidRPr="00082AED">
        <w:rPr>
          <w:rStyle w:val="FootnoteReference"/>
          <w:color w:val="000000" w:themeColor="text1"/>
        </w:rPr>
        <w:footnoteReference w:id="45"/>
      </w:r>
      <w:r w:rsidR="00C76E44" w:rsidRPr="00082AED">
        <w:rPr>
          <w:color w:val="000000" w:themeColor="text1"/>
        </w:rPr>
        <w:t xml:space="preserve"> </w:t>
      </w:r>
    </w:p>
    <w:p w14:paraId="1AD26AC7" w14:textId="293B3301" w:rsidR="00AF4D69" w:rsidRPr="00082AED" w:rsidRDefault="00C76E44" w:rsidP="00AF4D69">
      <w:pPr>
        <w:pStyle w:val="NormalWeb"/>
        <w:spacing w:before="0" w:beforeAutospacing="0" w:after="0" w:afterAutospacing="0" w:line="480" w:lineRule="auto"/>
        <w:ind w:firstLine="360"/>
        <w:jc w:val="both"/>
        <w:rPr>
          <w:color w:val="000000" w:themeColor="text1"/>
        </w:rPr>
      </w:pPr>
      <w:r w:rsidRPr="00082AED">
        <w:rPr>
          <w:color w:val="000000" w:themeColor="text1"/>
        </w:rPr>
        <w:t xml:space="preserve">Mrs. Byler argued that her privy was acceptable under the ordinance because </w:t>
      </w:r>
      <w:r w:rsidR="00B7799B" w:rsidRPr="00082AED">
        <w:rPr>
          <w:color w:val="000000" w:themeColor="text1"/>
        </w:rPr>
        <w:t>the</w:t>
      </w:r>
      <w:r w:rsidRPr="00082AED">
        <w:rPr>
          <w:color w:val="000000" w:themeColor="text1"/>
        </w:rPr>
        <w:t xml:space="preserve"> </w:t>
      </w:r>
      <w:r w:rsidR="00B7799B" w:rsidRPr="00082AED">
        <w:rPr>
          <w:color w:val="000000" w:themeColor="text1"/>
        </w:rPr>
        <w:t xml:space="preserve">spring </w:t>
      </w:r>
      <w:r w:rsidRPr="00082AED">
        <w:rPr>
          <w:color w:val="000000" w:themeColor="text1"/>
        </w:rPr>
        <w:t xml:space="preserve">water </w:t>
      </w:r>
      <w:r w:rsidR="00B7799B" w:rsidRPr="00082AED">
        <w:rPr>
          <w:color w:val="000000" w:themeColor="text1"/>
        </w:rPr>
        <w:t xml:space="preserve">that entered her home </w:t>
      </w:r>
      <w:r w:rsidRPr="00082AED">
        <w:rPr>
          <w:color w:val="000000" w:themeColor="text1"/>
        </w:rPr>
        <w:t>was not “under pressure.</w:t>
      </w:r>
      <w:r w:rsidR="00DA470C" w:rsidRPr="00082AED">
        <w:rPr>
          <w:color w:val="000000" w:themeColor="text1"/>
        </w:rPr>
        <w:t>”</w:t>
      </w:r>
      <w:r w:rsidRPr="00082AED">
        <w:rPr>
          <w:rStyle w:val="FootnoteReference"/>
          <w:color w:val="000000" w:themeColor="text1"/>
        </w:rPr>
        <w:footnoteReference w:id="46"/>
      </w:r>
      <w:r w:rsidR="00B06DB7" w:rsidRPr="00082AED">
        <w:rPr>
          <w:color w:val="000000" w:themeColor="text1"/>
        </w:rPr>
        <w:t xml:space="preserve">  </w:t>
      </w:r>
      <w:r w:rsidR="003E64F8" w:rsidRPr="00082AED">
        <w:rPr>
          <w:color w:val="000000" w:themeColor="text1"/>
        </w:rPr>
        <w:t>She also argued that the Privy Ordinance should not be applied retroactively to her property because her privy was installed and in use for years before the ordinance was passed.</w:t>
      </w:r>
      <w:r w:rsidR="003E64F8" w:rsidRPr="00082AED">
        <w:rPr>
          <w:rStyle w:val="FootnoteReference"/>
          <w:color w:val="000000" w:themeColor="text1"/>
        </w:rPr>
        <w:footnoteReference w:id="47"/>
      </w:r>
      <w:r w:rsidR="00B06DB7" w:rsidRPr="00082AED">
        <w:rPr>
          <w:color w:val="000000" w:themeColor="text1"/>
        </w:rPr>
        <w:t xml:space="preserve">  </w:t>
      </w:r>
      <w:r w:rsidR="00AF4D69" w:rsidRPr="00082AED">
        <w:rPr>
          <w:color w:val="000000" w:themeColor="text1"/>
        </w:rPr>
        <w:t xml:space="preserve">Mrs. Byler and her late husband Benjamin purchased their </w:t>
      </w:r>
      <w:r w:rsidR="00AF4D69" w:rsidRPr="00082AED">
        <w:rPr>
          <w:color w:val="000000" w:themeColor="text1"/>
        </w:rPr>
        <w:lastRenderedPageBreak/>
        <w:t>home from Mr. Byler’s brother Andrew and his wife Jemima on November 20, 1997.</w:t>
      </w:r>
      <w:r w:rsidR="00AF4D69" w:rsidRPr="00082AED">
        <w:rPr>
          <w:rStyle w:val="FootnoteReference"/>
          <w:color w:val="000000" w:themeColor="text1"/>
        </w:rPr>
        <w:footnoteReference w:id="48"/>
      </w:r>
      <w:r w:rsidR="002D7462" w:rsidRPr="00082AED">
        <w:rPr>
          <w:color w:val="000000" w:themeColor="text1"/>
        </w:rPr>
        <w:t xml:space="preserve">  </w:t>
      </w:r>
      <w:r w:rsidR="00AF4D69" w:rsidRPr="00082AED">
        <w:rPr>
          <w:color w:val="000000" w:themeColor="text1"/>
        </w:rPr>
        <w:t>Andrew and Jemima Byler had purchased the home from Jonas Byler, father of Andrew and Benjamin, on March 22, 1990.</w:t>
      </w:r>
      <w:r w:rsidR="00AF4D69" w:rsidRPr="00082AED">
        <w:rPr>
          <w:rStyle w:val="FootnoteReference"/>
          <w:color w:val="000000" w:themeColor="text1"/>
        </w:rPr>
        <w:footnoteReference w:id="49"/>
      </w:r>
      <w:r w:rsidR="002D7462" w:rsidRPr="00082AED">
        <w:rPr>
          <w:color w:val="000000" w:themeColor="text1"/>
        </w:rPr>
        <w:t xml:space="preserve">  </w:t>
      </w:r>
      <w:r w:rsidR="00AF4D69" w:rsidRPr="00082AED">
        <w:rPr>
          <w:color w:val="000000" w:themeColor="text1"/>
        </w:rPr>
        <w:t>Thus, the Byler home had been continuously occupied with the privy in use for over three years before the first Sugar Grove Township Privy Ordinance took effect in October, 1993.</w:t>
      </w:r>
      <w:r w:rsidR="00AF4D69" w:rsidRPr="00082AED">
        <w:rPr>
          <w:rStyle w:val="FootnoteReference"/>
          <w:color w:val="000000" w:themeColor="text1"/>
        </w:rPr>
        <w:footnoteReference w:id="50"/>
      </w:r>
    </w:p>
    <w:p w14:paraId="155705E6" w14:textId="28625A28" w:rsidR="00AF4D69" w:rsidRPr="00082AED" w:rsidRDefault="00D905FB" w:rsidP="00AF4D69">
      <w:pPr>
        <w:spacing w:line="480" w:lineRule="auto"/>
        <w:ind w:firstLine="360"/>
        <w:rPr>
          <w:color w:val="000000" w:themeColor="text1"/>
          <w:shd w:val="clear" w:color="auto" w:fill="FFFFFF"/>
        </w:rPr>
      </w:pPr>
      <w:r w:rsidRPr="00082AED">
        <w:rPr>
          <w:color w:val="000000" w:themeColor="text1"/>
        </w:rPr>
        <w:t xml:space="preserve">Mrs. Byler argued that the </w:t>
      </w:r>
      <w:r w:rsidR="00AF4D69" w:rsidRPr="00082AED">
        <w:rPr>
          <w:color w:val="000000" w:themeColor="text1"/>
        </w:rPr>
        <w:t xml:space="preserve">Pennsylvania’s Statutory Construction Act and its </w:t>
      </w:r>
      <w:r w:rsidR="00AC7CFD" w:rsidRPr="00082AED">
        <w:rPr>
          <w:color w:val="000000" w:themeColor="text1"/>
        </w:rPr>
        <w:t>p</w:t>
      </w:r>
      <w:r w:rsidR="00AF4D69" w:rsidRPr="00082AED">
        <w:rPr>
          <w:color w:val="000000" w:themeColor="text1"/>
        </w:rPr>
        <w:t xml:space="preserve">resumption </w:t>
      </w:r>
      <w:r w:rsidR="00AC7CFD" w:rsidRPr="00082AED">
        <w:rPr>
          <w:color w:val="000000" w:themeColor="text1"/>
        </w:rPr>
        <w:t>a</w:t>
      </w:r>
      <w:r w:rsidR="00AF4D69" w:rsidRPr="00082AED">
        <w:rPr>
          <w:color w:val="000000" w:themeColor="text1"/>
        </w:rPr>
        <w:t xml:space="preserve">gainst </w:t>
      </w:r>
      <w:r w:rsidR="00AC7CFD" w:rsidRPr="00082AED">
        <w:rPr>
          <w:color w:val="000000" w:themeColor="text1"/>
        </w:rPr>
        <w:t>r</w:t>
      </w:r>
      <w:r w:rsidR="00AF4D69" w:rsidRPr="00082AED">
        <w:rPr>
          <w:color w:val="000000" w:themeColor="text1"/>
        </w:rPr>
        <w:t xml:space="preserve">etroactive </w:t>
      </w:r>
      <w:r w:rsidR="00AC7CFD" w:rsidRPr="00082AED">
        <w:rPr>
          <w:color w:val="000000" w:themeColor="text1"/>
        </w:rPr>
        <w:t>e</w:t>
      </w:r>
      <w:r w:rsidR="00AF4D69" w:rsidRPr="00082AED">
        <w:rPr>
          <w:color w:val="000000" w:themeColor="text1"/>
        </w:rPr>
        <w:t>ffect provides that “no law shall be construed to be retroactive unless clearly and manifestly so contended by the General Assembly.”</w:t>
      </w:r>
      <w:r w:rsidR="00AF4D69" w:rsidRPr="00082AED">
        <w:rPr>
          <w:rStyle w:val="FootnoteReference"/>
          <w:color w:val="000000" w:themeColor="text1"/>
        </w:rPr>
        <w:footnoteReference w:id="51"/>
      </w:r>
      <w:r w:rsidR="00B06DB7" w:rsidRPr="00082AED">
        <w:rPr>
          <w:color w:val="000000" w:themeColor="text1"/>
        </w:rPr>
        <w:t xml:space="preserve">  </w:t>
      </w:r>
      <w:r w:rsidR="00AF4D69" w:rsidRPr="00082AED">
        <w:rPr>
          <w:color w:val="000000" w:themeColor="text1"/>
        </w:rPr>
        <w:t>Retroactive lawmaking is also highly frowned upon by courts in Pennsylvania.</w:t>
      </w:r>
      <w:r w:rsidR="00AF4D69" w:rsidRPr="00082AED">
        <w:rPr>
          <w:rStyle w:val="FootnoteReference"/>
          <w:color w:val="000000" w:themeColor="text1"/>
        </w:rPr>
        <w:footnoteReference w:id="52"/>
      </w:r>
      <w:r w:rsidR="00B06DB7" w:rsidRPr="00082AED">
        <w:rPr>
          <w:color w:val="000000" w:themeColor="text1"/>
        </w:rPr>
        <w:t xml:space="preserve">  </w:t>
      </w:r>
      <w:r w:rsidR="00476E5B">
        <w:rPr>
          <w:color w:val="000000" w:themeColor="text1"/>
        </w:rPr>
        <w:t xml:space="preserve">Mrs. </w:t>
      </w:r>
      <w:r w:rsidRPr="00082AED">
        <w:rPr>
          <w:color w:val="000000" w:themeColor="text1"/>
        </w:rPr>
        <w:t>Byler pointed to</w:t>
      </w:r>
      <w:r w:rsidR="00AF4D69" w:rsidRPr="00082AED">
        <w:rPr>
          <w:color w:val="000000" w:themeColor="text1"/>
        </w:rPr>
        <w:t xml:space="preserve"> </w:t>
      </w:r>
      <w:r w:rsidR="00AF4D69" w:rsidRPr="00082AED">
        <w:rPr>
          <w:i/>
          <w:color w:val="000000" w:themeColor="text1"/>
        </w:rPr>
        <w:t xml:space="preserve">Appeal of Sawdey, </w:t>
      </w:r>
      <w:r w:rsidRPr="00082AED">
        <w:rPr>
          <w:color w:val="000000" w:themeColor="text1"/>
        </w:rPr>
        <w:t xml:space="preserve">where </w:t>
      </w:r>
      <w:r w:rsidR="00AF4D69" w:rsidRPr="00082AED">
        <w:rPr>
          <w:color w:val="000000" w:themeColor="text1"/>
          <w:shd w:val="clear" w:color="auto" w:fill="FFFFFF"/>
        </w:rPr>
        <w:t>construction for a new hotel was about half completed when a local ordinance was passed that would outlaw its liquor license, making the hotel unprofitable before it was ever opened.</w:t>
      </w:r>
      <w:r w:rsidR="00AF4D69" w:rsidRPr="00082AED">
        <w:rPr>
          <w:rStyle w:val="FootnoteReference"/>
          <w:color w:val="000000" w:themeColor="text1"/>
          <w:shd w:val="clear" w:color="auto" w:fill="FFFFFF"/>
        </w:rPr>
        <w:footnoteReference w:id="53"/>
      </w:r>
      <w:r w:rsidR="00B06DB7" w:rsidRPr="00082AED">
        <w:rPr>
          <w:color w:val="000000" w:themeColor="text1"/>
          <w:shd w:val="clear" w:color="auto" w:fill="FFFFFF"/>
        </w:rPr>
        <w:t xml:space="preserve">  </w:t>
      </w:r>
      <w:r w:rsidRPr="00082AED">
        <w:rPr>
          <w:color w:val="000000" w:themeColor="text1"/>
        </w:rPr>
        <w:t xml:space="preserve">In </w:t>
      </w:r>
      <w:r w:rsidRPr="00082AED">
        <w:rPr>
          <w:i/>
          <w:color w:val="000000" w:themeColor="text1"/>
        </w:rPr>
        <w:t xml:space="preserve">Sawdey, </w:t>
      </w:r>
      <w:r w:rsidRPr="00784054">
        <w:rPr>
          <w:color w:val="000000" w:themeColor="text1"/>
        </w:rPr>
        <w:t>t</w:t>
      </w:r>
      <w:r w:rsidRPr="00082AED">
        <w:rPr>
          <w:color w:val="000000" w:themeColor="text1"/>
        </w:rPr>
        <w:t xml:space="preserve">he Pennsylvania Supreme Court concluded that, </w:t>
      </w:r>
      <w:r w:rsidRPr="00082AED">
        <w:rPr>
          <w:color w:val="000000" w:themeColor="text1"/>
          <w:shd w:val="clear" w:color="auto" w:fill="FFFFFF"/>
        </w:rPr>
        <w:t>“[r]etroactive legislation is so offensive to the Anglo-Saxon sense of justice that it is never favored.”</w:t>
      </w:r>
      <w:r w:rsidRPr="00082AED">
        <w:rPr>
          <w:rStyle w:val="FootnoteReference"/>
          <w:color w:val="000000" w:themeColor="text1"/>
          <w:shd w:val="clear" w:color="auto" w:fill="FFFFFF"/>
        </w:rPr>
        <w:footnoteReference w:id="54"/>
      </w:r>
    </w:p>
    <w:p w14:paraId="315CA18E" w14:textId="45C7AC23" w:rsidR="00C76E44" w:rsidRPr="00082AED" w:rsidRDefault="0001082E" w:rsidP="00150C8D">
      <w:pPr>
        <w:spacing w:line="480" w:lineRule="auto"/>
        <w:ind w:firstLine="270"/>
        <w:rPr>
          <w:color w:val="000000" w:themeColor="text1"/>
        </w:rPr>
      </w:pPr>
      <w:r w:rsidRPr="00082AED">
        <w:rPr>
          <w:color w:val="000000" w:themeColor="text1"/>
        </w:rPr>
        <w:t>Perhaps m</w:t>
      </w:r>
      <w:r w:rsidR="00DA470C" w:rsidRPr="00082AED">
        <w:rPr>
          <w:color w:val="000000" w:themeColor="text1"/>
        </w:rPr>
        <w:t xml:space="preserve">ost importantly, </w:t>
      </w:r>
      <w:r w:rsidR="00AF4D69" w:rsidRPr="00082AED">
        <w:rPr>
          <w:color w:val="000000" w:themeColor="text1"/>
        </w:rPr>
        <w:t>Mrs. Byler</w:t>
      </w:r>
      <w:r w:rsidR="00234869" w:rsidRPr="00082AED">
        <w:rPr>
          <w:color w:val="000000" w:themeColor="text1"/>
        </w:rPr>
        <w:t xml:space="preserve"> </w:t>
      </w:r>
      <w:r w:rsidR="00DA470C" w:rsidRPr="00082AED">
        <w:rPr>
          <w:color w:val="000000" w:themeColor="text1"/>
        </w:rPr>
        <w:t xml:space="preserve">argued that </w:t>
      </w:r>
      <w:r w:rsidR="000C1D84" w:rsidRPr="00082AED">
        <w:rPr>
          <w:color w:val="000000" w:themeColor="text1"/>
        </w:rPr>
        <w:t xml:space="preserve">the nature of relief requested by the Township would force her to go against </w:t>
      </w:r>
      <w:r w:rsidR="00296181" w:rsidRPr="00082AED">
        <w:rPr>
          <w:color w:val="000000" w:themeColor="text1"/>
        </w:rPr>
        <w:t>the</w:t>
      </w:r>
      <w:r w:rsidR="000C1D84" w:rsidRPr="00082AED">
        <w:rPr>
          <w:color w:val="000000" w:themeColor="text1"/>
        </w:rPr>
        <w:t xml:space="preserve"> deeply-held </w:t>
      </w:r>
      <w:r w:rsidR="00DA470C" w:rsidRPr="00082AED">
        <w:rPr>
          <w:color w:val="000000" w:themeColor="text1"/>
        </w:rPr>
        <w:t>religious beliefs.</w:t>
      </w:r>
      <w:r w:rsidR="00DA470C" w:rsidRPr="00082AED">
        <w:rPr>
          <w:rStyle w:val="FootnoteReference"/>
          <w:color w:val="000000" w:themeColor="text1"/>
        </w:rPr>
        <w:footnoteReference w:id="55"/>
      </w:r>
      <w:r w:rsidR="00AF4D69" w:rsidRPr="00082AED">
        <w:rPr>
          <w:color w:val="000000" w:themeColor="text1"/>
        </w:rPr>
        <w:t xml:space="preserve"> </w:t>
      </w:r>
      <w:r w:rsidR="002D7462" w:rsidRPr="00082AED">
        <w:rPr>
          <w:color w:val="000000" w:themeColor="text1"/>
        </w:rPr>
        <w:t xml:space="preserve"> </w:t>
      </w:r>
      <w:r w:rsidR="00350F63" w:rsidRPr="00082AED">
        <w:rPr>
          <w:color w:val="000000" w:themeColor="text1"/>
        </w:rPr>
        <w:t xml:space="preserve">She asserted that </w:t>
      </w:r>
      <w:r w:rsidR="00AE5D89">
        <w:rPr>
          <w:color w:val="000000" w:themeColor="text1"/>
        </w:rPr>
        <w:t xml:space="preserve">a </w:t>
      </w:r>
      <w:r w:rsidR="00350F63" w:rsidRPr="00082AED">
        <w:rPr>
          <w:color w:val="000000" w:themeColor="text1"/>
        </w:rPr>
        <w:t xml:space="preserve">requirement for sewer line hook-up created “a </w:t>
      </w:r>
      <w:r w:rsidR="00350F63" w:rsidRPr="00784054">
        <w:rPr>
          <w:color w:val="000000" w:themeColor="text1"/>
        </w:rPr>
        <w:t>substantial burden on the free exercise of the individual Amish person’s religion by requiring the use of an electric grinder pumps</w:t>
      </w:r>
      <w:r w:rsidR="00350F63" w:rsidRPr="00082AED">
        <w:rPr>
          <w:color w:val="000000" w:themeColor="text1"/>
        </w:rPr>
        <w:t>.”</w:t>
      </w:r>
      <w:r w:rsidR="00350F63" w:rsidRPr="00082AED">
        <w:rPr>
          <w:rStyle w:val="FootnoteReference"/>
          <w:color w:val="000000" w:themeColor="text1"/>
        </w:rPr>
        <w:footnoteReference w:id="56"/>
      </w:r>
      <w:r w:rsidR="00350F63" w:rsidRPr="00082AED">
        <w:rPr>
          <w:color w:val="000000" w:themeColor="text1"/>
        </w:rPr>
        <w:t xml:space="preserve">  </w:t>
      </w:r>
    </w:p>
    <w:p w14:paraId="7057DD34" w14:textId="2910ED44" w:rsidR="007B1EE0" w:rsidRPr="00082AED" w:rsidRDefault="00C76E44" w:rsidP="00332681">
      <w:pPr>
        <w:spacing w:line="480" w:lineRule="auto"/>
        <w:ind w:firstLine="360"/>
        <w:rPr>
          <w:color w:val="000000" w:themeColor="text1"/>
        </w:rPr>
      </w:pPr>
      <w:r w:rsidRPr="00082AED">
        <w:rPr>
          <w:color w:val="000000" w:themeColor="text1"/>
        </w:rPr>
        <w:lastRenderedPageBreak/>
        <w:t xml:space="preserve">The </w:t>
      </w:r>
      <w:r w:rsidR="00F527AD" w:rsidRPr="00082AED">
        <w:rPr>
          <w:color w:val="000000" w:themeColor="text1"/>
        </w:rPr>
        <w:t>t</w:t>
      </w:r>
      <w:r w:rsidRPr="00082AED">
        <w:rPr>
          <w:color w:val="000000" w:themeColor="text1"/>
        </w:rPr>
        <w:t xml:space="preserve">rial </w:t>
      </w:r>
      <w:r w:rsidR="00F527AD" w:rsidRPr="00082AED">
        <w:rPr>
          <w:color w:val="000000" w:themeColor="text1"/>
        </w:rPr>
        <w:t>c</w:t>
      </w:r>
      <w:r w:rsidRPr="00082AED">
        <w:rPr>
          <w:color w:val="000000" w:themeColor="text1"/>
        </w:rPr>
        <w:t>ourt</w:t>
      </w:r>
      <w:r w:rsidR="00397ADF" w:rsidRPr="00082AED">
        <w:rPr>
          <w:color w:val="000000" w:themeColor="text1"/>
        </w:rPr>
        <w:t xml:space="preserve"> issued an Order</w:t>
      </w:r>
      <w:r w:rsidR="000C1D84" w:rsidRPr="00082AED">
        <w:rPr>
          <w:color w:val="000000" w:themeColor="text1"/>
        </w:rPr>
        <w:t xml:space="preserve"> </w:t>
      </w:r>
      <w:r w:rsidR="00397ADF" w:rsidRPr="00082AED">
        <w:rPr>
          <w:color w:val="000000" w:themeColor="text1"/>
        </w:rPr>
        <w:t>and Memorandum Opinion on April 13, 2017.</w:t>
      </w:r>
      <w:r w:rsidR="00397ADF" w:rsidRPr="00082AED">
        <w:rPr>
          <w:rStyle w:val="FootnoteReference"/>
          <w:color w:val="000000" w:themeColor="text1"/>
        </w:rPr>
        <w:footnoteReference w:id="57"/>
      </w:r>
      <w:r w:rsidR="00B06DB7" w:rsidRPr="00082AED">
        <w:rPr>
          <w:color w:val="000000" w:themeColor="text1"/>
        </w:rPr>
        <w:t xml:space="preserve">  </w:t>
      </w:r>
      <w:r w:rsidR="00F527AD" w:rsidRPr="00082AED">
        <w:rPr>
          <w:color w:val="000000" w:themeColor="text1"/>
        </w:rPr>
        <w:t xml:space="preserve">It </w:t>
      </w:r>
      <w:r w:rsidR="00315061" w:rsidRPr="00082AED">
        <w:rPr>
          <w:color w:val="000000" w:themeColor="text1"/>
        </w:rPr>
        <w:t xml:space="preserve">held that public </w:t>
      </w:r>
      <w:r w:rsidR="00F50149" w:rsidRPr="00082AED">
        <w:rPr>
          <w:color w:val="000000" w:themeColor="text1"/>
        </w:rPr>
        <w:t xml:space="preserve">health and </w:t>
      </w:r>
      <w:r w:rsidR="00315061" w:rsidRPr="00082AED">
        <w:rPr>
          <w:color w:val="000000" w:themeColor="text1"/>
        </w:rPr>
        <w:t xml:space="preserve">safety </w:t>
      </w:r>
      <w:r w:rsidR="003E64F8" w:rsidRPr="00082AED">
        <w:rPr>
          <w:color w:val="000000" w:themeColor="text1"/>
        </w:rPr>
        <w:t>overr</w:t>
      </w:r>
      <w:r w:rsidR="00683ED3" w:rsidRPr="00082AED">
        <w:rPr>
          <w:color w:val="000000" w:themeColor="text1"/>
        </w:rPr>
        <w:t>ode</w:t>
      </w:r>
      <w:r w:rsidR="003E64F8" w:rsidRPr="00082AED">
        <w:rPr>
          <w:color w:val="000000" w:themeColor="text1"/>
        </w:rPr>
        <w:t xml:space="preserve"> religious beliefs</w:t>
      </w:r>
      <w:r w:rsidR="00AF4D69" w:rsidRPr="00082AED">
        <w:rPr>
          <w:color w:val="000000" w:themeColor="text1"/>
        </w:rPr>
        <w:t xml:space="preserve"> in this case</w:t>
      </w:r>
      <w:r w:rsidR="003E64F8" w:rsidRPr="00082AED">
        <w:rPr>
          <w:color w:val="000000" w:themeColor="text1"/>
        </w:rPr>
        <w:t>.</w:t>
      </w:r>
      <w:r w:rsidR="003E64F8" w:rsidRPr="00082AED">
        <w:rPr>
          <w:rStyle w:val="FootnoteReference"/>
          <w:color w:val="000000" w:themeColor="text1"/>
        </w:rPr>
        <w:footnoteReference w:id="58"/>
      </w:r>
      <w:r w:rsidR="00332681" w:rsidRPr="00082AED">
        <w:rPr>
          <w:color w:val="000000" w:themeColor="text1"/>
        </w:rPr>
        <w:t xml:space="preserve"> </w:t>
      </w:r>
      <w:r w:rsidR="002D7462" w:rsidRPr="00082AED">
        <w:rPr>
          <w:color w:val="000000" w:themeColor="text1"/>
        </w:rPr>
        <w:t xml:space="preserve"> </w:t>
      </w:r>
      <w:r w:rsidR="00332681" w:rsidRPr="00082AED">
        <w:rPr>
          <w:color w:val="000000" w:themeColor="text1"/>
        </w:rPr>
        <w:t>It ruled that Mrs. Byler’s home was subject to Sugar Grove Township’s Privy Ordinance even though it was occupied and its privy was in use long before that law was passed.</w:t>
      </w:r>
      <w:r w:rsidR="00332681" w:rsidRPr="00082AED">
        <w:rPr>
          <w:rStyle w:val="FootnoteReference"/>
          <w:color w:val="000000" w:themeColor="text1"/>
        </w:rPr>
        <w:footnoteReference w:id="59"/>
      </w:r>
      <w:r w:rsidR="00332681" w:rsidRPr="00082AED">
        <w:rPr>
          <w:color w:val="000000" w:themeColor="text1"/>
        </w:rPr>
        <w:t xml:space="preserve"> </w:t>
      </w:r>
      <w:r w:rsidR="002D7462" w:rsidRPr="00082AED">
        <w:rPr>
          <w:color w:val="000000" w:themeColor="text1"/>
        </w:rPr>
        <w:t xml:space="preserve"> </w:t>
      </w:r>
      <w:r w:rsidR="00F527AD" w:rsidRPr="00082AED">
        <w:rPr>
          <w:color w:val="000000" w:themeColor="text1"/>
        </w:rPr>
        <w:t xml:space="preserve">The trial court </w:t>
      </w:r>
      <w:r w:rsidR="00315061" w:rsidRPr="00082AED">
        <w:rPr>
          <w:color w:val="000000" w:themeColor="text1"/>
        </w:rPr>
        <w:t xml:space="preserve">agreed with the Township that </w:t>
      </w:r>
      <w:r w:rsidR="003E64F8" w:rsidRPr="00082AED">
        <w:rPr>
          <w:color w:val="000000" w:themeColor="text1"/>
        </w:rPr>
        <w:t xml:space="preserve">the </w:t>
      </w:r>
      <w:r w:rsidR="00315061" w:rsidRPr="00082AED">
        <w:rPr>
          <w:color w:val="000000" w:themeColor="text1"/>
        </w:rPr>
        <w:t>gravity-fed water in her kitchen spigot</w:t>
      </w:r>
      <w:r w:rsidR="003E64F8" w:rsidRPr="00082AED">
        <w:rPr>
          <w:color w:val="000000" w:themeColor="text1"/>
        </w:rPr>
        <w:t xml:space="preserve"> gave Mrs. Byler</w:t>
      </w:r>
      <w:r w:rsidR="00315061" w:rsidRPr="00082AED">
        <w:rPr>
          <w:color w:val="000000" w:themeColor="text1"/>
        </w:rPr>
        <w:t xml:space="preserve"> “water under pressure</w:t>
      </w:r>
      <w:r w:rsidR="00180840" w:rsidRPr="00082AED">
        <w:rPr>
          <w:color w:val="000000" w:themeColor="text1"/>
        </w:rPr>
        <w:t>,</w:t>
      </w:r>
      <w:r w:rsidR="00315061" w:rsidRPr="00082AED">
        <w:rPr>
          <w:color w:val="000000" w:themeColor="text1"/>
        </w:rPr>
        <w:t xml:space="preserve">” and thus </w:t>
      </w:r>
      <w:r w:rsidR="003E64F8" w:rsidRPr="00082AED">
        <w:rPr>
          <w:color w:val="000000" w:themeColor="text1"/>
        </w:rPr>
        <w:t xml:space="preserve">she </w:t>
      </w:r>
      <w:r w:rsidR="00315061" w:rsidRPr="00082AED">
        <w:rPr>
          <w:color w:val="000000" w:themeColor="text1"/>
        </w:rPr>
        <w:t>was not permitted to have a privy at all</w:t>
      </w:r>
      <w:r w:rsidR="0001082E" w:rsidRPr="00082AED">
        <w:rPr>
          <w:color w:val="000000" w:themeColor="text1"/>
        </w:rPr>
        <w:t>.</w:t>
      </w:r>
      <w:r w:rsidR="0001082E" w:rsidRPr="00082AED">
        <w:rPr>
          <w:rStyle w:val="FootnoteReference"/>
          <w:color w:val="000000" w:themeColor="text1"/>
        </w:rPr>
        <w:footnoteReference w:id="60"/>
      </w:r>
      <w:r w:rsidR="0001082E" w:rsidRPr="00082AED">
        <w:rPr>
          <w:color w:val="000000" w:themeColor="text1"/>
        </w:rPr>
        <w:t xml:space="preserve"> </w:t>
      </w:r>
      <w:r w:rsidR="002D7462" w:rsidRPr="00082AED">
        <w:rPr>
          <w:color w:val="000000" w:themeColor="text1"/>
        </w:rPr>
        <w:t xml:space="preserve"> </w:t>
      </w:r>
      <w:r w:rsidR="00A16065" w:rsidRPr="00082AED">
        <w:rPr>
          <w:color w:val="000000" w:themeColor="text1"/>
        </w:rPr>
        <w:t>Instead, s</w:t>
      </w:r>
      <w:r w:rsidR="0001082E" w:rsidRPr="00082AED">
        <w:rPr>
          <w:color w:val="000000" w:themeColor="text1"/>
        </w:rPr>
        <w:t>he</w:t>
      </w:r>
      <w:r w:rsidR="003E64F8" w:rsidRPr="00082AED">
        <w:rPr>
          <w:color w:val="000000" w:themeColor="text1"/>
        </w:rPr>
        <w:t xml:space="preserve"> would</w:t>
      </w:r>
      <w:r w:rsidR="00A16065" w:rsidRPr="00082AED">
        <w:rPr>
          <w:color w:val="000000" w:themeColor="text1"/>
        </w:rPr>
        <w:t xml:space="preserve"> </w:t>
      </w:r>
      <w:r w:rsidR="003E64F8" w:rsidRPr="00082AED">
        <w:rPr>
          <w:color w:val="000000" w:themeColor="text1"/>
        </w:rPr>
        <w:t xml:space="preserve">need to comply with the </w:t>
      </w:r>
      <w:r w:rsidR="00AE5D89">
        <w:rPr>
          <w:color w:val="000000" w:themeColor="text1"/>
        </w:rPr>
        <w:t>state Sewage Facilities Act</w:t>
      </w:r>
      <w:r w:rsidR="00315061" w:rsidRPr="00082AED">
        <w:rPr>
          <w:color w:val="000000" w:themeColor="text1"/>
        </w:rPr>
        <w:t>.</w:t>
      </w:r>
      <w:r w:rsidR="00315061" w:rsidRPr="00082AED">
        <w:rPr>
          <w:rStyle w:val="FootnoteReference"/>
          <w:color w:val="000000" w:themeColor="text1"/>
        </w:rPr>
        <w:footnoteReference w:id="61"/>
      </w:r>
      <w:r w:rsidRPr="00082AED">
        <w:rPr>
          <w:color w:val="000000" w:themeColor="text1"/>
        </w:rPr>
        <w:t xml:space="preserve"> </w:t>
      </w:r>
      <w:r w:rsidR="002D7462" w:rsidRPr="00082AED">
        <w:rPr>
          <w:color w:val="000000" w:themeColor="text1"/>
        </w:rPr>
        <w:t xml:space="preserve"> </w:t>
      </w:r>
      <w:r w:rsidR="003E64F8" w:rsidRPr="00082AED">
        <w:rPr>
          <w:color w:val="000000" w:themeColor="text1"/>
        </w:rPr>
        <w:t xml:space="preserve">In addition, the </w:t>
      </w:r>
      <w:r w:rsidR="00315061" w:rsidRPr="00082AED">
        <w:rPr>
          <w:color w:val="000000" w:themeColor="text1"/>
        </w:rPr>
        <w:t xml:space="preserve">temporary structures </w:t>
      </w:r>
      <w:r w:rsidR="0001082E" w:rsidRPr="00082AED">
        <w:rPr>
          <w:color w:val="000000" w:themeColor="text1"/>
        </w:rPr>
        <w:t xml:space="preserve">built for Mrs. Byler’s sons </w:t>
      </w:r>
      <w:r w:rsidR="00315061" w:rsidRPr="00082AED">
        <w:rPr>
          <w:color w:val="000000" w:themeColor="text1"/>
        </w:rPr>
        <w:t>were deemed incompatible with the Uniform</w:t>
      </w:r>
      <w:r w:rsidRPr="00082AED">
        <w:rPr>
          <w:color w:val="000000" w:themeColor="text1"/>
        </w:rPr>
        <w:t xml:space="preserve"> </w:t>
      </w:r>
      <w:r w:rsidR="00315061" w:rsidRPr="00082AED">
        <w:rPr>
          <w:color w:val="000000" w:themeColor="text1"/>
        </w:rPr>
        <w:t>Construction Code.</w:t>
      </w:r>
      <w:r w:rsidR="00315061" w:rsidRPr="00082AED">
        <w:rPr>
          <w:rStyle w:val="FootnoteReference"/>
          <w:color w:val="000000" w:themeColor="text1"/>
        </w:rPr>
        <w:footnoteReference w:id="62"/>
      </w:r>
      <w:r w:rsidR="00B06DB7" w:rsidRPr="00082AED">
        <w:rPr>
          <w:color w:val="000000" w:themeColor="text1"/>
        </w:rPr>
        <w:t xml:space="preserve">  </w:t>
      </w:r>
      <w:r w:rsidR="00315061" w:rsidRPr="00082AED">
        <w:rPr>
          <w:color w:val="000000" w:themeColor="text1"/>
        </w:rPr>
        <w:t xml:space="preserve">Mrs. Byler was given </w:t>
      </w:r>
      <w:r w:rsidR="00180840" w:rsidRPr="00082AED">
        <w:rPr>
          <w:color w:val="000000" w:themeColor="text1"/>
        </w:rPr>
        <w:t>thirty</w:t>
      </w:r>
      <w:r w:rsidR="00315061" w:rsidRPr="00082AED">
        <w:rPr>
          <w:color w:val="000000" w:themeColor="text1"/>
        </w:rPr>
        <w:t xml:space="preserve"> days to comply with all code violations</w:t>
      </w:r>
      <w:r w:rsidR="003E64F8" w:rsidRPr="00082AED">
        <w:rPr>
          <w:color w:val="000000" w:themeColor="text1"/>
        </w:rPr>
        <w:t xml:space="preserve"> or face </w:t>
      </w:r>
      <w:r w:rsidR="006A5C0A" w:rsidRPr="00082AED">
        <w:rPr>
          <w:color w:val="000000" w:themeColor="text1"/>
        </w:rPr>
        <w:t xml:space="preserve">the </w:t>
      </w:r>
      <w:r w:rsidR="003E64F8" w:rsidRPr="00082AED">
        <w:rPr>
          <w:color w:val="000000" w:themeColor="text1"/>
        </w:rPr>
        <w:t>eviction of her entire family.</w:t>
      </w:r>
      <w:r w:rsidR="003E64F8" w:rsidRPr="00082AED">
        <w:rPr>
          <w:rStyle w:val="FootnoteReference"/>
          <w:color w:val="000000" w:themeColor="text1"/>
        </w:rPr>
        <w:footnoteReference w:id="63"/>
      </w:r>
      <w:r w:rsidR="002D7462" w:rsidRPr="00082AED">
        <w:rPr>
          <w:color w:val="000000" w:themeColor="text1"/>
        </w:rPr>
        <w:t xml:space="preserve">  </w:t>
      </w:r>
      <w:r w:rsidR="00180840" w:rsidRPr="00082AED">
        <w:rPr>
          <w:color w:val="000000" w:themeColor="text1"/>
        </w:rPr>
        <w:t>Further</w:t>
      </w:r>
      <w:r w:rsidR="003E64F8" w:rsidRPr="00082AED">
        <w:rPr>
          <w:color w:val="000000" w:themeColor="text1"/>
        </w:rPr>
        <w:t>, as</w:t>
      </w:r>
      <w:r w:rsidR="00180840" w:rsidRPr="00082AED">
        <w:rPr>
          <w:color w:val="000000" w:themeColor="text1"/>
        </w:rPr>
        <w:t xml:space="preserve"> a</w:t>
      </w:r>
      <w:r w:rsidR="00315061" w:rsidRPr="00082AED">
        <w:rPr>
          <w:color w:val="000000" w:themeColor="text1"/>
        </w:rPr>
        <w:t xml:space="preserve"> widow with an eighth-grade education</w:t>
      </w:r>
      <w:r w:rsidR="003E64F8" w:rsidRPr="00082AED">
        <w:rPr>
          <w:color w:val="000000" w:themeColor="text1"/>
        </w:rPr>
        <w:t xml:space="preserve"> and no employment,</w:t>
      </w:r>
      <w:r w:rsidR="00315061" w:rsidRPr="00082AED">
        <w:rPr>
          <w:color w:val="000000" w:themeColor="text1"/>
        </w:rPr>
        <w:t xml:space="preserve"> </w:t>
      </w:r>
      <w:r w:rsidR="003E64F8" w:rsidRPr="00082AED">
        <w:rPr>
          <w:color w:val="000000" w:themeColor="text1"/>
        </w:rPr>
        <w:t xml:space="preserve">she </w:t>
      </w:r>
      <w:r w:rsidRPr="00082AED">
        <w:rPr>
          <w:color w:val="000000" w:themeColor="text1"/>
        </w:rPr>
        <w:t xml:space="preserve">was ordered to </w:t>
      </w:r>
      <w:r w:rsidR="003E64F8" w:rsidRPr="00082AED">
        <w:rPr>
          <w:color w:val="000000" w:themeColor="text1"/>
        </w:rPr>
        <w:t>pay $100 per month toward fines that the township claimed were $160,000 as of late October.</w:t>
      </w:r>
      <w:r w:rsidR="003E64F8" w:rsidRPr="00082AED">
        <w:rPr>
          <w:rStyle w:val="FootnoteReference"/>
          <w:color w:val="000000" w:themeColor="text1"/>
        </w:rPr>
        <w:footnoteReference w:id="64"/>
      </w:r>
    </w:p>
    <w:p w14:paraId="6CD28187" w14:textId="1BB7D54E" w:rsidR="003E64F8" w:rsidRPr="00082AED" w:rsidRDefault="003E64F8" w:rsidP="00150C8D">
      <w:pPr>
        <w:spacing w:line="480" w:lineRule="auto"/>
        <w:ind w:firstLine="270"/>
        <w:rPr>
          <w:color w:val="000000" w:themeColor="text1"/>
        </w:rPr>
      </w:pPr>
      <w:r w:rsidRPr="00082AED">
        <w:rPr>
          <w:color w:val="000000" w:themeColor="text1"/>
        </w:rPr>
        <w:t xml:space="preserve">Following unsuccessful post-trial motions, </w:t>
      </w:r>
      <w:r w:rsidR="00180840" w:rsidRPr="00082AED">
        <w:rPr>
          <w:color w:val="000000" w:themeColor="text1"/>
        </w:rPr>
        <w:t>Mrs.</w:t>
      </w:r>
      <w:r w:rsidRPr="00082AED">
        <w:rPr>
          <w:color w:val="000000" w:themeColor="text1"/>
        </w:rPr>
        <w:t xml:space="preserve"> Byler appealed this case to</w:t>
      </w:r>
      <w:r w:rsidR="00180840" w:rsidRPr="00082AED">
        <w:rPr>
          <w:color w:val="000000" w:themeColor="text1"/>
        </w:rPr>
        <w:t xml:space="preserve"> the</w:t>
      </w:r>
      <w:r w:rsidRPr="00082AED">
        <w:rPr>
          <w:color w:val="000000" w:themeColor="text1"/>
        </w:rPr>
        <w:t xml:space="preserve"> Commonwealth Court.</w:t>
      </w:r>
      <w:r w:rsidR="00DA470C" w:rsidRPr="00082AED">
        <w:rPr>
          <w:rStyle w:val="FootnoteReference"/>
          <w:color w:val="000000" w:themeColor="text1"/>
        </w:rPr>
        <w:footnoteReference w:id="65"/>
      </w:r>
      <w:r w:rsidR="00B06DB7" w:rsidRPr="00082AED">
        <w:rPr>
          <w:color w:val="000000" w:themeColor="text1"/>
        </w:rPr>
        <w:t xml:space="preserve">  </w:t>
      </w:r>
      <w:r w:rsidR="00DA470C" w:rsidRPr="00082AED">
        <w:rPr>
          <w:color w:val="000000" w:themeColor="text1"/>
        </w:rPr>
        <w:t>She raised four issues in her appeal.</w:t>
      </w:r>
      <w:r w:rsidR="00DA470C" w:rsidRPr="00082AED">
        <w:rPr>
          <w:rStyle w:val="FootnoteReference"/>
          <w:color w:val="000000" w:themeColor="text1"/>
        </w:rPr>
        <w:footnoteReference w:id="66"/>
      </w:r>
      <w:r w:rsidR="00DA470C" w:rsidRPr="00082AED">
        <w:rPr>
          <w:color w:val="000000" w:themeColor="text1"/>
        </w:rPr>
        <w:t xml:space="preserve"> </w:t>
      </w:r>
      <w:r w:rsidR="002D7462" w:rsidRPr="00082AED">
        <w:rPr>
          <w:color w:val="000000" w:themeColor="text1"/>
        </w:rPr>
        <w:t xml:space="preserve"> </w:t>
      </w:r>
      <w:r w:rsidR="00DA470C" w:rsidRPr="00082AED">
        <w:rPr>
          <w:color w:val="000000" w:themeColor="text1"/>
        </w:rPr>
        <w:t xml:space="preserve">First, she argued that the </w:t>
      </w:r>
      <w:r w:rsidR="00180840" w:rsidRPr="00082AED">
        <w:rPr>
          <w:color w:val="000000" w:themeColor="text1"/>
        </w:rPr>
        <w:t>t</w:t>
      </w:r>
      <w:r w:rsidR="00DA470C" w:rsidRPr="00082AED">
        <w:rPr>
          <w:color w:val="000000" w:themeColor="text1"/>
        </w:rPr>
        <w:t xml:space="preserve">rial </w:t>
      </w:r>
      <w:r w:rsidR="00180840" w:rsidRPr="00082AED">
        <w:rPr>
          <w:color w:val="000000" w:themeColor="text1"/>
        </w:rPr>
        <w:t>c</w:t>
      </w:r>
      <w:r w:rsidR="00DA470C" w:rsidRPr="00082AED">
        <w:rPr>
          <w:color w:val="000000" w:themeColor="text1"/>
        </w:rPr>
        <w:t>ourt’s ruling was excessively burdensome</w:t>
      </w:r>
      <w:r w:rsidR="00773404" w:rsidRPr="00082AED">
        <w:rPr>
          <w:color w:val="000000" w:themeColor="text1"/>
        </w:rPr>
        <w:t xml:space="preserve"> </w:t>
      </w:r>
      <w:r w:rsidR="00DA470C" w:rsidRPr="00082AED">
        <w:rPr>
          <w:color w:val="000000" w:themeColor="text1"/>
        </w:rPr>
        <w:t xml:space="preserve">and in violation of the First Amendment to the U.S. Constitution, the Pennsylvania Constitution Article I, Section 3, </w:t>
      </w:r>
      <w:r w:rsidR="00773404" w:rsidRPr="00082AED">
        <w:rPr>
          <w:color w:val="000000" w:themeColor="text1"/>
        </w:rPr>
        <w:t>and Pennsylvania’s Religious Freedom Act, 71 P.S. §2401-2406.</w:t>
      </w:r>
      <w:r w:rsidR="00773404" w:rsidRPr="00082AED">
        <w:rPr>
          <w:rStyle w:val="FootnoteReference"/>
          <w:color w:val="000000" w:themeColor="text1"/>
        </w:rPr>
        <w:footnoteReference w:id="67"/>
      </w:r>
      <w:r w:rsidR="00773404" w:rsidRPr="00082AED">
        <w:rPr>
          <w:color w:val="000000" w:themeColor="text1"/>
        </w:rPr>
        <w:t xml:space="preserve"> </w:t>
      </w:r>
      <w:r w:rsidR="002D7462" w:rsidRPr="00082AED">
        <w:rPr>
          <w:color w:val="000000" w:themeColor="text1"/>
        </w:rPr>
        <w:t xml:space="preserve"> </w:t>
      </w:r>
      <w:r w:rsidR="00773404" w:rsidRPr="00082AED">
        <w:rPr>
          <w:color w:val="000000" w:themeColor="text1"/>
        </w:rPr>
        <w:t xml:space="preserve">Her second argument was that the </w:t>
      </w:r>
      <w:r w:rsidR="00180840" w:rsidRPr="00082AED">
        <w:rPr>
          <w:color w:val="000000" w:themeColor="text1"/>
        </w:rPr>
        <w:t>t</w:t>
      </w:r>
      <w:r w:rsidR="00773404" w:rsidRPr="00082AED">
        <w:rPr>
          <w:color w:val="000000" w:themeColor="text1"/>
        </w:rPr>
        <w:t xml:space="preserve">rial </w:t>
      </w:r>
      <w:r w:rsidR="00180840" w:rsidRPr="00082AED">
        <w:rPr>
          <w:color w:val="000000" w:themeColor="text1"/>
        </w:rPr>
        <w:t>c</w:t>
      </w:r>
      <w:r w:rsidR="00773404" w:rsidRPr="00082AED">
        <w:rPr>
          <w:color w:val="000000" w:themeColor="text1"/>
        </w:rPr>
        <w:t>ourt erred by retroactively applying the Privy Ordinance to her property.</w:t>
      </w:r>
      <w:r w:rsidR="00773404" w:rsidRPr="00082AED">
        <w:rPr>
          <w:rStyle w:val="FootnoteReference"/>
          <w:color w:val="000000" w:themeColor="text1"/>
        </w:rPr>
        <w:footnoteReference w:id="68"/>
      </w:r>
      <w:r w:rsidR="00B06DB7" w:rsidRPr="00082AED">
        <w:rPr>
          <w:color w:val="000000" w:themeColor="text1"/>
        </w:rPr>
        <w:t xml:space="preserve">  </w:t>
      </w:r>
      <w:r w:rsidR="00773404" w:rsidRPr="00082AED">
        <w:rPr>
          <w:color w:val="000000" w:themeColor="text1"/>
        </w:rPr>
        <w:t xml:space="preserve">Third, she claimed that the </w:t>
      </w:r>
      <w:r w:rsidR="00180840" w:rsidRPr="00082AED">
        <w:rPr>
          <w:color w:val="000000" w:themeColor="text1"/>
        </w:rPr>
        <w:t>t</w:t>
      </w:r>
      <w:r w:rsidR="00773404" w:rsidRPr="00082AED">
        <w:rPr>
          <w:color w:val="000000" w:themeColor="text1"/>
        </w:rPr>
        <w:t xml:space="preserve">rial </w:t>
      </w:r>
      <w:r w:rsidR="00180840" w:rsidRPr="00082AED">
        <w:rPr>
          <w:color w:val="000000" w:themeColor="text1"/>
        </w:rPr>
        <w:t>c</w:t>
      </w:r>
      <w:r w:rsidR="00773404" w:rsidRPr="00082AED">
        <w:rPr>
          <w:color w:val="000000" w:themeColor="text1"/>
        </w:rPr>
        <w:t>ourt misapplied the building code to the temporary structures on her property.</w:t>
      </w:r>
      <w:r w:rsidR="00773404" w:rsidRPr="00082AED">
        <w:rPr>
          <w:rStyle w:val="FootnoteReference"/>
          <w:color w:val="000000" w:themeColor="text1"/>
        </w:rPr>
        <w:footnoteReference w:id="69"/>
      </w:r>
      <w:r w:rsidR="00B06DB7" w:rsidRPr="00082AED">
        <w:rPr>
          <w:color w:val="000000" w:themeColor="text1"/>
        </w:rPr>
        <w:t xml:space="preserve">  </w:t>
      </w:r>
      <w:r w:rsidR="0001082E" w:rsidRPr="00082AED">
        <w:rPr>
          <w:color w:val="000000" w:themeColor="text1"/>
        </w:rPr>
        <w:t>F</w:t>
      </w:r>
      <w:r w:rsidR="00773404" w:rsidRPr="00082AED">
        <w:rPr>
          <w:color w:val="000000" w:themeColor="text1"/>
        </w:rPr>
        <w:t>inally</w:t>
      </w:r>
      <w:r w:rsidR="00180840" w:rsidRPr="00082AED">
        <w:rPr>
          <w:color w:val="000000" w:themeColor="text1"/>
        </w:rPr>
        <w:t>,</w:t>
      </w:r>
      <w:r w:rsidR="00773404" w:rsidRPr="00082AED">
        <w:rPr>
          <w:color w:val="000000" w:themeColor="text1"/>
        </w:rPr>
        <w:t xml:space="preserve"> she </w:t>
      </w:r>
      <w:r w:rsidR="00773404" w:rsidRPr="00082AED">
        <w:rPr>
          <w:color w:val="000000" w:themeColor="text1"/>
        </w:rPr>
        <w:lastRenderedPageBreak/>
        <w:t xml:space="preserve">argued that the </w:t>
      </w:r>
      <w:r w:rsidR="00180840" w:rsidRPr="00082AED">
        <w:rPr>
          <w:color w:val="000000" w:themeColor="text1"/>
        </w:rPr>
        <w:t>t</w:t>
      </w:r>
      <w:r w:rsidR="00773404" w:rsidRPr="00082AED">
        <w:rPr>
          <w:color w:val="000000" w:themeColor="text1"/>
        </w:rPr>
        <w:t xml:space="preserve">rial </w:t>
      </w:r>
      <w:r w:rsidR="00180840" w:rsidRPr="00082AED">
        <w:rPr>
          <w:color w:val="000000" w:themeColor="text1"/>
        </w:rPr>
        <w:t>c</w:t>
      </w:r>
      <w:r w:rsidR="00773404" w:rsidRPr="00082AED">
        <w:rPr>
          <w:color w:val="000000" w:themeColor="text1"/>
        </w:rPr>
        <w:t xml:space="preserve">ourt “committed a clear error of law” by not determining a specific amount of fine or penalty that she was being required to pay </w:t>
      </w:r>
      <w:r w:rsidR="0001082E" w:rsidRPr="00082AED">
        <w:rPr>
          <w:color w:val="000000" w:themeColor="text1"/>
        </w:rPr>
        <w:t xml:space="preserve">because of </w:t>
      </w:r>
      <w:r w:rsidR="00773404" w:rsidRPr="00082AED">
        <w:rPr>
          <w:color w:val="000000" w:themeColor="text1"/>
        </w:rPr>
        <w:t>the alleged violations.</w:t>
      </w:r>
      <w:r w:rsidR="00773404" w:rsidRPr="00082AED">
        <w:rPr>
          <w:rStyle w:val="FootnoteReference"/>
          <w:color w:val="000000" w:themeColor="text1"/>
        </w:rPr>
        <w:footnoteReference w:id="70"/>
      </w:r>
      <w:r w:rsidR="00B06DB7" w:rsidRPr="00082AED">
        <w:rPr>
          <w:color w:val="000000" w:themeColor="text1"/>
        </w:rPr>
        <w:t xml:space="preserve">  </w:t>
      </w:r>
      <w:r w:rsidR="00180840" w:rsidRPr="00082AED">
        <w:rPr>
          <w:color w:val="000000" w:themeColor="text1"/>
        </w:rPr>
        <w:t xml:space="preserve">She </w:t>
      </w:r>
      <w:r w:rsidR="00301E6A" w:rsidRPr="00082AED">
        <w:rPr>
          <w:color w:val="000000" w:themeColor="text1"/>
        </w:rPr>
        <w:t>claimed</w:t>
      </w:r>
      <w:r w:rsidR="00180840" w:rsidRPr="00082AED">
        <w:rPr>
          <w:color w:val="000000" w:themeColor="text1"/>
        </w:rPr>
        <w:t xml:space="preserve"> that a</w:t>
      </w:r>
      <w:r w:rsidR="006A5C0A" w:rsidRPr="00082AED">
        <w:rPr>
          <w:color w:val="000000" w:themeColor="text1"/>
        </w:rPr>
        <w:t>s ordered, t</w:t>
      </w:r>
      <w:r w:rsidR="00773404" w:rsidRPr="00082AED">
        <w:rPr>
          <w:color w:val="000000" w:themeColor="text1"/>
        </w:rPr>
        <w:t xml:space="preserve">he </w:t>
      </w:r>
      <w:r w:rsidR="00180840" w:rsidRPr="00082AED">
        <w:rPr>
          <w:color w:val="000000" w:themeColor="text1"/>
        </w:rPr>
        <w:t xml:space="preserve">outcome </w:t>
      </w:r>
      <w:r w:rsidR="00773404" w:rsidRPr="00082AED">
        <w:rPr>
          <w:color w:val="000000" w:themeColor="text1"/>
        </w:rPr>
        <w:t>was absurd because</w:t>
      </w:r>
      <w:r w:rsidR="00F527AD" w:rsidRPr="00082AED">
        <w:rPr>
          <w:color w:val="000000" w:themeColor="text1"/>
        </w:rPr>
        <w:t xml:space="preserve"> </w:t>
      </w:r>
      <w:r w:rsidR="00773404" w:rsidRPr="00082AED">
        <w:rPr>
          <w:color w:val="000000" w:themeColor="text1"/>
        </w:rPr>
        <w:t>the alleged fines and penalties had reached $172,500</w:t>
      </w:r>
      <w:r w:rsidR="00F527AD" w:rsidRPr="00082AED">
        <w:rPr>
          <w:color w:val="000000" w:themeColor="text1"/>
        </w:rPr>
        <w:t xml:space="preserve"> as of the date of the appeal,</w:t>
      </w:r>
      <w:r w:rsidR="0001082E" w:rsidRPr="00082AED">
        <w:rPr>
          <w:color w:val="000000" w:themeColor="text1"/>
        </w:rPr>
        <w:t xml:space="preserve"> a sum that </w:t>
      </w:r>
      <w:r w:rsidR="00773404" w:rsidRPr="00082AED">
        <w:rPr>
          <w:color w:val="000000" w:themeColor="text1"/>
        </w:rPr>
        <w:t xml:space="preserve">would have taken </w:t>
      </w:r>
      <w:r w:rsidR="0001082E" w:rsidRPr="00082AED">
        <w:rPr>
          <w:color w:val="000000" w:themeColor="text1"/>
        </w:rPr>
        <w:t>Mrs. Byler</w:t>
      </w:r>
      <w:r w:rsidR="00773404" w:rsidRPr="00082AED">
        <w:rPr>
          <w:color w:val="000000" w:themeColor="text1"/>
        </w:rPr>
        <w:t xml:space="preserve"> 146 years to pay at the rate of $100 per month.</w:t>
      </w:r>
      <w:r w:rsidR="00773404" w:rsidRPr="00082AED">
        <w:rPr>
          <w:rStyle w:val="FootnoteReference"/>
          <w:color w:val="000000" w:themeColor="text1"/>
        </w:rPr>
        <w:footnoteReference w:id="71"/>
      </w:r>
    </w:p>
    <w:p w14:paraId="0BE9F97B" w14:textId="49A42BD5" w:rsidR="00610764" w:rsidRPr="00082AED" w:rsidRDefault="00180840" w:rsidP="005C7708">
      <w:pPr>
        <w:pStyle w:val="NormalWeb"/>
        <w:spacing w:before="0" w:beforeAutospacing="0" w:after="0" w:afterAutospacing="0" w:line="480" w:lineRule="auto"/>
        <w:ind w:firstLine="360"/>
        <w:rPr>
          <w:color w:val="000000" w:themeColor="text1"/>
        </w:rPr>
      </w:pPr>
      <w:r w:rsidRPr="00082AED">
        <w:rPr>
          <w:color w:val="000000" w:themeColor="text1"/>
        </w:rPr>
        <w:t xml:space="preserve">The </w:t>
      </w:r>
      <w:r w:rsidR="00077280" w:rsidRPr="00082AED">
        <w:rPr>
          <w:color w:val="000000" w:themeColor="text1"/>
        </w:rPr>
        <w:t xml:space="preserve">Commonwealth Court </w:t>
      </w:r>
      <w:r w:rsidR="00AF4D69" w:rsidRPr="00082AED">
        <w:rPr>
          <w:color w:val="000000" w:themeColor="text1"/>
        </w:rPr>
        <w:t>reached a mixed decision on July 20, 2018.</w:t>
      </w:r>
      <w:r w:rsidR="00C242D0" w:rsidRPr="00082AED">
        <w:rPr>
          <w:rStyle w:val="FootnoteReference"/>
          <w:color w:val="000000" w:themeColor="text1"/>
        </w:rPr>
        <w:footnoteReference w:id="72"/>
      </w:r>
      <w:r w:rsidR="00AF4D69" w:rsidRPr="00082AED">
        <w:rPr>
          <w:color w:val="000000" w:themeColor="text1"/>
        </w:rPr>
        <w:t xml:space="preserve"> </w:t>
      </w:r>
      <w:r w:rsidR="002D7462" w:rsidRPr="00082AED">
        <w:rPr>
          <w:color w:val="000000" w:themeColor="text1"/>
        </w:rPr>
        <w:t xml:space="preserve"> </w:t>
      </w:r>
      <w:r w:rsidRPr="00082AED">
        <w:rPr>
          <w:color w:val="000000" w:themeColor="text1"/>
        </w:rPr>
        <w:t xml:space="preserve">The Court agreed with Ms. Byler’s argument </w:t>
      </w:r>
      <w:r w:rsidR="00D113A1" w:rsidRPr="00082AED">
        <w:rPr>
          <w:color w:val="000000" w:themeColor="text1"/>
        </w:rPr>
        <w:t>regarding</w:t>
      </w:r>
      <w:r w:rsidRPr="00082AED">
        <w:rPr>
          <w:color w:val="000000" w:themeColor="text1"/>
        </w:rPr>
        <w:t xml:space="preserve"> the retroactive enactment</w:t>
      </w:r>
      <w:r w:rsidR="00077280" w:rsidRPr="00082AED">
        <w:rPr>
          <w:color w:val="000000" w:themeColor="text1"/>
        </w:rPr>
        <w:t xml:space="preserve"> of the Privy Ordinance because her privy predated the ordinance.</w:t>
      </w:r>
      <w:r w:rsidR="00C242D0" w:rsidRPr="00082AED">
        <w:rPr>
          <w:rStyle w:val="FootnoteReference"/>
          <w:color w:val="000000" w:themeColor="text1"/>
        </w:rPr>
        <w:footnoteReference w:id="73"/>
      </w:r>
      <w:r w:rsidR="005C7708" w:rsidRPr="00082AED">
        <w:rPr>
          <w:color w:val="000000" w:themeColor="text1"/>
        </w:rPr>
        <w:t xml:space="preserve">  The Court upheld the determination that the temporary buildings needed building permits because they were in violation of the Uniform Construction Code.</w:t>
      </w:r>
      <w:r w:rsidR="005C7708" w:rsidRPr="00082AED">
        <w:rPr>
          <w:rStyle w:val="FootnoteReference"/>
          <w:color w:val="000000" w:themeColor="text1"/>
        </w:rPr>
        <w:footnoteReference w:id="74"/>
      </w:r>
      <w:r w:rsidR="005C7708" w:rsidRPr="00082AED">
        <w:rPr>
          <w:color w:val="000000" w:themeColor="text1"/>
        </w:rPr>
        <w:t xml:space="preserve"> </w:t>
      </w:r>
      <w:r w:rsidR="00610764" w:rsidRPr="00082AED">
        <w:rPr>
          <w:color w:val="000000" w:themeColor="text1"/>
        </w:rPr>
        <w:t>The Court’s analysis of Section 104(b)(8) of the Pennsylvania Construction Code Act made it obvious that the homes were constructed for Mrs. Byler’s sons and did not meet the definition of “temporary” structures.</w:t>
      </w:r>
      <w:r w:rsidR="00610764" w:rsidRPr="00082AED">
        <w:rPr>
          <w:rStyle w:val="FootnoteReference"/>
          <w:color w:val="000000" w:themeColor="text1"/>
        </w:rPr>
        <w:footnoteReference w:id="75"/>
      </w:r>
      <w:r w:rsidR="00B06DB7" w:rsidRPr="00082AED">
        <w:rPr>
          <w:color w:val="000000" w:themeColor="text1"/>
        </w:rPr>
        <w:t xml:space="preserve"> </w:t>
      </w:r>
    </w:p>
    <w:p w14:paraId="614B6039" w14:textId="3A32608C" w:rsidR="00610764" w:rsidRPr="00082AED" w:rsidRDefault="00AF4D69" w:rsidP="00610764">
      <w:pPr>
        <w:pStyle w:val="NormalWeb"/>
        <w:spacing w:before="0" w:beforeAutospacing="0" w:after="0" w:afterAutospacing="0" w:line="480" w:lineRule="auto"/>
        <w:ind w:firstLine="360"/>
        <w:rPr>
          <w:color w:val="000000" w:themeColor="text1"/>
        </w:rPr>
      </w:pPr>
      <w:r w:rsidRPr="00082AED">
        <w:rPr>
          <w:color w:val="000000" w:themeColor="text1"/>
        </w:rPr>
        <w:t>In respect to t</w:t>
      </w:r>
      <w:r w:rsidR="00BB74BF" w:rsidRPr="00082AED">
        <w:rPr>
          <w:color w:val="000000" w:themeColor="text1"/>
        </w:rPr>
        <w:t>he fines and penalties, the Court held that the</w:t>
      </w:r>
      <w:r w:rsidR="0053777A" w:rsidRPr="00082AED">
        <w:rPr>
          <w:color w:val="000000" w:themeColor="text1"/>
        </w:rPr>
        <w:t xml:space="preserve"> trial </w:t>
      </w:r>
      <w:r w:rsidR="00BB74BF" w:rsidRPr="00082AED">
        <w:rPr>
          <w:color w:val="000000" w:themeColor="text1"/>
        </w:rPr>
        <w:t xml:space="preserve">court erred by </w:t>
      </w:r>
      <w:r w:rsidR="00BB74BF" w:rsidRPr="00082AED">
        <w:rPr>
          <w:i/>
          <w:color w:val="000000" w:themeColor="text1"/>
        </w:rPr>
        <w:t xml:space="preserve">sua sponte </w:t>
      </w:r>
      <w:r w:rsidR="00BB74BF" w:rsidRPr="00082AED">
        <w:rPr>
          <w:color w:val="000000" w:themeColor="text1"/>
        </w:rPr>
        <w:t>awarding relief that the township had not requested.</w:t>
      </w:r>
      <w:r w:rsidR="00BB74BF" w:rsidRPr="00082AED">
        <w:rPr>
          <w:rStyle w:val="FootnoteReference"/>
          <w:color w:val="000000" w:themeColor="text1"/>
        </w:rPr>
        <w:footnoteReference w:id="76"/>
      </w:r>
      <w:r w:rsidRPr="00082AED">
        <w:rPr>
          <w:color w:val="000000" w:themeColor="text1"/>
        </w:rPr>
        <w:t xml:space="preserve"> </w:t>
      </w:r>
      <w:r w:rsidR="00A61BF1" w:rsidRPr="00082AED">
        <w:rPr>
          <w:color w:val="000000" w:themeColor="text1"/>
        </w:rPr>
        <w:t xml:space="preserve"> </w:t>
      </w:r>
      <w:r w:rsidR="00610764" w:rsidRPr="00082AED">
        <w:rPr>
          <w:color w:val="000000" w:themeColor="text1"/>
        </w:rPr>
        <w:t xml:space="preserve">The Court vacated the trial court’s directive ordering Mrs. Byler to pay $100.00 per month to the Township because </w:t>
      </w:r>
      <w:r w:rsidR="00610764" w:rsidRPr="00784054">
        <w:rPr>
          <w:color w:val="000000" w:themeColor="text1"/>
        </w:rPr>
        <w:t>“. . . the Township merely asked for injunctive relief to correct any purported violations and abate any nuisances, as well as any charges or costs incurred by the Township in this abatement.”</w:t>
      </w:r>
      <w:r w:rsidR="00610764" w:rsidRPr="00784054">
        <w:rPr>
          <w:rStyle w:val="FootnoteReference"/>
          <w:color w:val="000000" w:themeColor="text1"/>
        </w:rPr>
        <w:footnoteReference w:id="77"/>
      </w:r>
      <w:r w:rsidR="00B06DB7" w:rsidRPr="00082AED">
        <w:rPr>
          <w:color w:val="000000" w:themeColor="text1"/>
        </w:rPr>
        <w:t xml:space="preserve">  </w:t>
      </w:r>
      <w:r w:rsidR="00610764" w:rsidRPr="00082AED">
        <w:rPr>
          <w:color w:val="000000" w:themeColor="text1"/>
        </w:rPr>
        <w:t>The Township had not asked for the actual payment of any fines and penalties.</w:t>
      </w:r>
      <w:r w:rsidR="00610764" w:rsidRPr="00082AED">
        <w:rPr>
          <w:rStyle w:val="FootnoteReference"/>
          <w:color w:val="000000" w:themeColor="text1"/>
        </w:rPr>
        <w:footnoteReference w:id="78"/>
      </w:r>
      <w:r w:rsidR="00610764" w:rsidRPr="00082AED">
        <w:rPr>
          <w:color w:val="000000" w:themeColor="text1"/>
        </w:rPr>
        <w:t xml:space="preserve">  Discussing this </w:t>
      </w:r>
      <w:r w:rsidR="00610764" w:rsidRPr="00082AED">
        <w:rPr>
          <w:color w:val="000000" w:themeColor="text1"/>
        </w:rPr>
        <w:lastRenderedPageBreak/>
        <w:t>payment order in dicta, the Court expressed “serious” concern over the reasonableness of the $100 monthly amount in light of the widowed Mrs. Byler’s limited education and resources.</w:t>
      </w:r>
      <w:r w:rsidR="00610764" w:rsidRPr="00082AED">
        <w:rPr>
          <w:rStyle w:val="FootnoteReference"/>
          <w:color w:val="000000" w:themeColor="text1"/>
        </w:rPr>
        <w:footnoteReference w:id="79"/>
      </w:r>
      <w:r w:rsidR="00610764" w:rsidRPr="00082AED">
        <w:rPr>
          <w:color w:val="000000" w:themeColor="text1"/>
        </w:rPr>
        <w:t xml:space="preserve"> </w:t>
      </w:r>
    </w:p>
    <w:p w14:paraId="1371056C" w14:textId="50F1323A" w:rsidR="005C72EE" w:rsidRPr="00082AED" w:rsidRDefault="00AF4D69" w:rsidP="00150C8D">
      <w:pPr>
        <w:spacing w:line="480" w:lineRule="auto"/>
        <w:ind w:firstLine="270"/>
        <w:rPr>
          <w:color w:val="000000" w:themeColor="text1"/>
        </w:rPr>
      </w:pPr>
      <w:r w:rsidRPr="00082AED">
        <w:rPr>
          <w:color w:val="000000" w:themeColor="text1"/>
        </w:rPr>
        <w:t xml:space="preserve">Most significantly, the Court remanded </w:t>
      </w:r>
      <w:r w:rsidR="00722C91" w:rsidRPr="00082AED">
        <w:rPr>
          <w:color w:val="000000" w:themeColor="text1"/>
        </w:rPr>
        <w:t xml:space="preserve">the issue of </w:t>
      </w:r>
      <w:r w:rsidRPr="00082AED">
        <w:rPr>
          <w:color w:val="000000" w:themeColor="text1"/>
        </w:rPr>
        <w:t>balancing of the Byler family’s right to religious freedom</w:t>
      </w:r>
      <w:r w:rsidR="002C6675" w:rsidRPr="00082AED">
        <w:rPr>
          <w:color w:val="000000" w:themeColor="text1"/>
        </w:rPr>
        <w:t xml:space="preserve"> with the state’s environmental concerns</w:t>
      </w:r>
      <w:r w:rsidRPr="00082AED">
        <w:rPr>
          <w:color w:val="000000" w:themeColor="text1"/>
        </w:rPr>
        <w:t xml:space="preserve"> back to</w:t>
      </w:r>
      <w:r w:rsidR="0053777A" w:rsidRPr="00082AED">
        <w:rPr>
          <w:color w:val="000000" w:themeColor="text1"/>
        </w:rPr>
        <w:t xml:space="preserve"> the</w:t>
      </w:r>
      <w:r w:rsidRPr="00082AED">
        <w:rPr>
          <w:color w:val="000000" w:themeColor="text1"/>
        </w:rPr>
        <w:t xml:space="preserve"> Warren County </w:t>
      </w:r>
      <w:r w:rsidR="0053777A" w:rsidRPr="00082AED">
        <w:rPr>
          <w:color w:val="000000" w:themeColor="text1"/>
        </w:rPr>
        <w:t xml:space="preserve">court </w:t>
      </w:r>
      <w:r w:rsidRPr="00082AED">
        <w:rPr>
          <w:color w:val="000000" w:themeColor="text1"/>
        </w:rPr>
        <w:t>for further proceedings.</w:t>
      </w:r>
      <w:r w:rsidR="005C7708" w:rsidRPr="00082AED">
        <w:rPr>
          <w:rStyle w:val="FootnoteReference"/>
          <w:color w:val="000000" w:themeColor="text1"/>
        </w:rPr>
        <w:footnoteReference w:id="80"/>
      </w:r>
    </w:p>
    <w:p w14:paraId="72E56E83" w14:textId="11E7EF74" w:rsidR="001D18E2" w:rsidRPr="00082AED" w:rsidRDefault="005C72EE" w:rsidP="00150C8D">
      <w:pPr>
        <w:pStyle w:val="ListParagraph"/>
        <w:numPr>
          <w:ilvl w:val="0"/>
          <w:numId w:val="4"/>
        </w:numPr>
        <w:spacing w:line="480" w:lineRule="auto"/>
        <w:ind w:left="0"/>
        <w:jc w:val="center"/>
        <w:rPr>
          <w:b/>
          <w:color w:val="000000" w:themeColor="text1"/>
        </w:rPr>
      </w:pPr>
      <w:r w:rsidRPr="00082AED">
        <w:rPr>
          <w:b/>
          <w:color w:val="000000" w:themeColor="text1"/>
        </w:rPr>
        <w:t>History</w:t>
      </w:r>
    </w:p>
    <w:p w14:paraId="63A61987" w14:textId="114CA9FF" w:rsidR="009C78BB" w:rsidRPr="00082AED" w:rsidRDefault="006F53DA" w:rsidP="00784054">
      <w:pPr>
        <w:ind w:left="720" w:right="720"/>
        <w:jc w:val="both"/>
        <w:rPr>
          <w:color w:val="000000" w:themeColor="text1"/>
        </w:rPr>
      </w:pPr>
      <w:r w:rsidRPr="00082AED">
        <w:rPr>
          <w:color w:val="000000" w:themeColor="text1"/>
          <w:shd w:val="clear" w:color="auto" w:fill="FFFFFF"/>
        </w:rPr>
        <w:t>Thou shalt have a place also without the camp, whither thou shalt go forth abroad: and thou shalt have a paddle among thy weapons; and it shall be, when thou sittest down abroad, thou shalt dig therewith, and shalt turn back and cover that which cometh from thee:</w:t>
      </w:r>
      <w:r w:rsidRPr="00082AED">
        <w:rPr>
          <w:rStyle w:val="apple-converted-space"/>
          <w:color w:val="000000" w:themeColor="text1"/>
          <w:shd w:val="clear" w:color="auto" w:fill="FFFFFF"/>
        </w:rPr>
        <w:t> </w:t>
      </w:r>
      <w:r w:rsidRPr="00082AED">
        <w:rPr>
          <w:color w:val="000000" w:themeColor="text1"/>
          <w:shd w:val="clear" w:color="auto" w:fill="FFFFFF"/>
        </w:rPr>
        <w:t xml:space="preserve"> for Jehovah thy God walketh in the midst of thy camp, to deliver thee, and to give up thine enemies before thee; therefore shall thy camp be holy, that he may not see an unclean thing in thee, and turn away from thee.</w:t>
      </w:r>
      <w:r w:rsidR="005654E3" w:rsidRPr="00082AED">
        <w:rPr>
          <w:rStyle w:val="FootnoteReference"/>
          <w:color w:val="000000" w:themeColor="text1"/>
          <w:shd w:val="clear" w:color="auto" w:fill="FFFFFF"/>
        </w:rPr>
        <w:footnoteReference w:id="81"/>
      </w:r>
    </w:p>
    <w:p w14:paraId="6CB92EE8" w14:textId="77777777" w:rsidR="006F53DA" w:rsidRPr="00082AED" w:rsidRDefault="006F53DA" w:rsidP="00150C8D">
      <w:pPr>
        <w:ind w:right="720"/>
        <w:jc w:val="both"/>
        <w:rPr>
          <w:color w:val="000000" w:themeColor="text1"/>
        </w:rPr>
      </w:pPr>
    </w:p>
    <w:p w14:paraId="09D9F4C2" w14:textId="7E9B93F9" w:rsidR="00F174EA" w:rsidRPr="00082AED" w:rsidRDefault="006F53DA" w:rsidP="00150C8D">
      <w:pPr>
        <w:spacing w:line="480" w:lineRule="auto"/>
        <w:ind w:firstLine="360"/>
        <w:rPr>
          <w:color w:val="000000" w:themeColor="text1"/>
        </w:rPr>
      </w:pPr>
      <w:r w:rsidRPr="00082AED">
        <w:rPr>
          <w:color w:val="000000" w:themeColor="text1"/>
        </w:rPr>
        <w:t>The above passage from Deuteronomy may be the earliest written account of sewage disposal.</w:t>
      </w:r>
      <w:r w:rsidRPr="00082AED">
        <w:rPr>
          <w:rStyle w:val="FootnoteReference"/>
          <w:color w:val="000000" w:themeColor="text1"/>
        </w:rPr>
        <w:footnoteReference w:id="82"/>
      </w:r>
      <w:r w:rsidR="005E285F" w:rsidRPr="00082AED">
        <w:rPr>
          <w:color w:val="000000" w:themeColor="text1"/>
        </w:rPr>
        <w:t xml:space="preserve">  </w:t>
      </w:r>
      <w:r w:rsidR="00414AEC" w:rsidRPr="00082AED">
        <w:rPr>
          <w:color w:val="000000" w:themeColor="text1"/>
        </w:rPr>
        <w:t>Since the days of the earliest human settlements, it seems that most societies have had an instinctive knowledge that proper disposal of human waste is important.</w:t>
      </w:r>
      <w:r w:rsidR="00414AEC" w:rsidRPr="00082AED">
        <w:rPr>
          <w:rStyle w:val="FootnoteReference"/>
          <w:color w:val="000000" w:themeColor="text1"/>
        </w:rPr>
        <w:footnoteReference w:id="83"/>
      </w:r>
      <w:r w:rsidR="00414AEC" w:rsidRPr="00082AED">
        <w:rPr>
          <w:color w:val="000000" w:themeColor="text1"/>
        </w:rPr>
        <w:t xml:space="preserve"> </w:t>
      </w:r>
      <w:r w:rsidR="005E285F" w:rsidRPr="00082AED">
        <w:rPr>
          <w:color w:val="000000" w:themeColor="text1"/>
        </w:rPr>
        <w:t xml:space="preserve"> </w:t>
      </w:r>
      <w:r w:rsidR="0084643F" w:rsidRPr="00082AED">
        <w:rPr>
          <w:color w:val="000000" w:themeColor="text1"/>
        </w:rPr>
        <w:t>Some early Greek and Roman societies had elaborate sewer systems, but with the fall of these empires</w:t>
      </w:r>
      <w:r w:rsidR="00D10270" w:rsidRPr="00082AED">
        <w:rPr>
          <w:color w:val="000000" w:themeColor="text1"/>
        </w:rPr>
        <w:t>,</w:t>
      </w:r>
      <w:r w:rsidR="0084643F" w:rsidRPr="00082AED">
        <w:rPr>
          <w:color w:val="000000" w:themeColor="text1"/>
        </w:rPr>
        <w:t xml:space="preserve"> technology </w:t>
      </w:r>
      <w:r w:rsidR="00562EBA" w:rsidRPr="00082AED">
        <w:rPr>
          <w:color w:val="000000" w:themeColor="text1"/>
        </w:rPr>
        <w:t xml:space="preserve">in this area </w:t>
      </w:r>
      <w:r w:rsidR="0084643F" w:rsidRPr="00082AED">
        <w:rPr>
          <w:color w:val="000000" w:themeColor="text1"/>
        </w:rPr>
        <w:t>dwindled.</w:t>
      </w:r>
      <w:r w:rsidR="0084643F" w:rsidRPr="00082AED">
        <w:rPr>
          <w:rStyle w:val="FootnoteReference"/>
          <w:color w:val="000000" w:themeColor="text1"/>
        </w:rPr>
        <w:footnoteReference w:id="84"/>
      </w:r>
      <w:r w:rsidR="00471482" w:rsidRPr="00082AED">
        <w:rPr>
          <w:color w:val="000000" w:themeColor="text1"/>
        </w:rPr>
        <w:t xml:space="preserve"> </w:t>
      </w:r>
      <w:r w:rsidR="005E285F" w:rsidRPr="00082AED">
        <w:rPr>
          <w:color w:val="000000" w:themeColor="text1"/>
        </w:rPr>
        <w:t xml:space="preserve"> </w:t>
      </w:r>
      <w:r w:rsidR="00471482" w:rsidRPr="00082AED">
        <w:rPr>
          <w:color w:val="000000" w:themeColor="text1"/>
        </w:rPr>
        <w:t xml:space="preserve">By the Middle Ages, </w:t>
      </w:r>
      <w:r w:rsidR="008C402A" w:rsidRPr="00082AED">
        <w:rPr>
          <w:color w:val="000000" w:themeColor="text1"/>
        </w:rPr>
        <w:t xml:space="preserve">people frequently used </w:t>
      </w:r>
      <w:r w:rsidR="00562EBA" w:rsidRPr="00082AED">
        <w:rPr>
          <w:color w:val="000000" w:themeColor="text1"/>
        </w:rPr>
        <w:t xml:space="preserve">simple </w:t>
      </w:r>
      <w:r w:rsidR="007E1AFB" w:rsidRPr="00082AED">
        <w:rPr>
          <w:color w:val="000000" w:themeColor="text1"/>
        </w:rPr>
        <w:t xml:space="preserve">in-house </w:t>
      </w:r>
      <w:r w:rsidR="00562EBA" w:rsidRPr="00082AED">
        <w:rPr>
          <w:color w:val="000000" w:themeColor="text1"/>
        </w:rPr>
        <w:t xml:space="preserve">containers or </w:t>
      </w:r>
      <w:r w:rsidR="008C402A" w:rsidRPr="00082AED">
        <w:rPr>
          <w:color w:val="000000" w:themeColor="text1"/>
        </w:rPr>
        <w:t xml:space="preserve">“potties” that they would either </w:t>
      </w:r>
      <w:r w:rsidR="00562EBA" w:rsidRPr="00082AED">
        <w:rPr>
          <w:color w:val="000000" w:themeColor="text1"/>
        </w:rPr>
        <w:t>empty</w:t>
      </w:r>
      <w:r w:rsidR="008C402A" w:rsidRPr="00082AED">
        <w:rPr>
          <w:color w:val="000000" w:themeColor="text1"/>
        </w:rPr>
        <w:t xml:space="preserve"> into the street or </w:t>
      </w:r>
      <w:r w:rsidR="00562EBA" w:rsidRPr="00082AED">
        <w:rPr>
          <w:color w:val="000000" w:themeColor="text1"/>
        </w:rPr>
        <w:t>dump</w:t>
      </w:r>
      <w:r w:rsidR="008C402A" w:rsidRPr="00082AED">
        <w:rPr>
          <w:color w:val="000000" w:themeColor="text1"/>
        </w:rPr>
        <w:t xml:space="preserve"> in the nearest water supply.</w:t>
      </w:r>
      <w:r w:rsidR="008C402A" w:rsidRPr="00082AED">
        <w:rPr>
          <w:rStyle w:val="FootnoteReference"/>
          <w:color w:val="000000" w:themeColor="text1"/>
        </w:rPr>
        <w:footnoteReference w:id="85"/>
      </w:r>
      <w:r w:rsidR="008C402A" w:rsidRPr="00082AED">
        <w:rPr>
          <w:color w:val="000000" w:themeColor="text1"/>
        </w:rPr>
        <w:t xml:space="preserve"> Eventually</w:t>
      </w:r>
      <w:r w:rsidR="00D10270" w:rsidRPr="00082AED">
        <w:rPr>
          <w:color w:val="000000" w:themeColor="text1"/>
        </w:rPr>
        <w:t>,</w:t>
      </w:r>
      <w:r w:rsidR="008C402A" w:rsidRPr="00082AED">
        <w:rPr>
          <w:color w:val="000000" w:themeColor="text1"/>
        </w:rPr>
        <w:t xml:space="preserve"> small outside structures or “privies” came into use.</w:t>
      </w:r>
      <w:r w:rsidR="008C402A" w:rsidRPr="00082AED">
        <w:rPr>
          <w:rStyle w:val="FootnoteReference"/>
          <w:color w:val="000000" w:themeColor="text1"/>
        </w:rPr>
        <w:footnoteReference w:id="86"/>
      </w:r>
      <w:r w:rsidR="004A205C" w:rsidRPr="00082AED">
        <w:rPr>
          <w:color w:val="000000" w:themeColor="text1"/>
        </w:rPr>
        <w:t xml:space="preserve"> </w:t>
      </w:r>
      <w:r w:rsidR="005E285F" w:rsidRPr="00082AED">
        <w:rPr>
          <w:color w:val="000000" w:themeColor="text1"/>
        </w:rPr>
        <w:t xml:space="preserve"> </w:t>
      </w:r>
      <w:r w:rsidR="004A205C" w:rsidRPr="00082AED">
        <w:rPr>
          <w:color w:val="000000" w:themeColor="text1"/>
        </w:rPr>
        <w:t xml:space="preserve">These </w:t>
      </w:r>
      <w:r w:rsidR="003949B5" w:rsidRPr="00082AED">
        <w:rPr>
          <w:color w:val="000000" w:themeColor="text1"/>
        </w:rPr>
        <w:t xml:space="preserve">privies </w:t>
      </w:r>
      <w:r w:rsidR="007E1AFB" w:rsidRPr="00082AED">
        <w:rPr>
          <w:color w:val="000000" w:themeColor="text1"/>
        </w:rPr>
        <w:t>utilized an open-holed seat over some sort of container or pit.</w:t>
      </w:r>
      <w:r w:rsidR="007E1AFB" w:rsidRPr="00082AED">
        <w:rPr>
          <w:rStyle w:val="FootnoteReference"/>
          <w:color w:val="000000" w:themeColor="text1"/>
        </w:rPr>
        <w:footnoteReference w:id="87"/>
      </w:r>
      <w:r w:rsidR="007E1AFB" w:rsidRPr="00082AED">
        <w:rPr>
          <w:color w:val="000000" w:themeColor="text1"/>
        </w:rPr>
        <w:t xml:space="preserve"> </w:t>
      </w:r>
      <w:r w:rsidR="005E285F" w:rsidRPr="00082AED">
        <w:rPr>
          <w:color w:val="000000" w:themeColor="text1"/>
        </w:rPr>
        <w:t xml:space="preserve"> </w:t>
      </w:r>
      <w:r w:rsidR="00BE5593" w:rsidRPr="00082AED">
        <w:rPr>
          <w:color w:val="000000" w:themeColor="text1"/>
        </w:rPr>
        <w:t xml:space="preserve">In polite company, privies </w:t>
      </w:r>
      <w:r w:rsidR="007E1AFB" w:rsidRPr="00082AED">
        <w:rPr>
          <w:color w:val="000000" w:themeColor="text1"/>
        </w:rPr>
        <w:t xml:space="preserve">were </w:t>
      </w:r>
      <w:r w:rsidR="00BE5593" w:rsidRPr="00082AED">
        <w:rPr>
          <w:color w:val="000000" w:themeColor="text1"/>
        </w:rPr>
        <w:t xml:space="preserve">often </w:t>
      </w:r>
      <w:r w:rsidR="004A205C" w:rsidRPr="00082AED">
        <w:rPr>
          <w:color w:val="000000" w:themeColor="text1"/>
        </w:rPr>
        <w:lastRenderedPageBreak/>
        <w:t xml:space="preserve">known by </w:t>
      </w:r>
      <w:r w:rsidR="00BE5593" w:rsidRPr="00082AED">
        <w:rPr>
          <w:color w:val="000000" w:themeColor="text1"/>
        </w:rPr>
        <w:t xml:space="preserve">allegorical </w:t>
      </w:r>
      <w:r w:rsidR="004A205C" w:rsidRPr="00082AED">
        <w:rPr>
          <w:color w:val="000000" w:themeColor="text1"/>
        </w:rPr>
        <w:t>names including</w:t>
      </w:r>
      <w:r w:rsidR="007E1AFB" w:rsidRPr="00082AED">
        <w:rPr>
          <w:color w:val="000000" w:themeColor="text1"/>
        </w:rPr>
        <w:t xml:space="preserve"> “</w:t>
      </w:r>
      <w:r w:rsidR="004A205C" w:rsidRPr="00082AED">
        <w:rPr>
          <w:color w:val="000000" w:themeColor="text1"/>
        </w:rPr>
        <w:t>temple,” “house of convenience,” and</w:t>
      </w:r>
      <w:r w:rsidR="00236265" w:rsidRPr="00082AED">
        <w:rPr>
          <w:color w:val="000000" w:themeColor="text1"/>
        </w:rPr>
        <w:t xml:space="preserve"> the more</w:t>
      </w:r>
      <w:r w:rsidR="004A205C" w:rsidRPr="00082AED">
        <w:rPr>
          <w:color w:val="000000" w:themeColor="text1"/>
        </w:rPr>
        <w:t xml:space="preserve"> </w:t>
      </w:r>
      <w:r w:rsidR="00EF38DE" w:rsidRPr="00082AED">
        <w:rPr>
          <w:color w:val="000000" w:themeColor="text1"/>
        </w:rPr>
        <w:t>down-to-earth</w:t>
      </w:r>
      <w:r w:rsidR="00236265" w:rsidRPr="00082AED">
        <w:rPr>
          <w:color w:val="000000" w:themeColor="text1"/>
        </w:rPr>
        <w:t xml:space="preserve"> </w:t>
      </w:r>
      <w:r w:rsidR="004A205C" w:rsidRPr="00082AED">
        <w:rPr>
          <w:color w:val="000000" w:themeColor="text1"/>
        </w:rPr>
        <w:t>“necessary house.”</w:t>
      </w:r>
      <w:r w:rsidR="004A205C" w:rsidRPr="00082AED">
        <w:rPr>
          <w:rStyle w:val="FootnoteReference"/>
          <w:color w:val="000000" w:themeColor="text1"/>
        </w:rPr>
        <w:footnoteReference w:id="88"/>
      </w:r>
      <w:r w:rsidR="005E285F" w:rsidRPr="00082AED">
        <w:rPr>
          <w:color w:val="000000" w:themeColor="text1"/>
        </w:rPr>
        <w:t xml:space="preserve">  </w:t>
      </w:r>
      <w:r w:rsidR="007E1AFB" w:rsidRPr="00082AED">
        <w:rPr>
          <w:color w:val="000000" w:themeColor="text1"/>
        </w:rPr>
        <w:t>Eventually</w:t>
      </w:r>
      <w:r w:rsidR="00D10270" w:rsidRPr="00082AED">
        <w:rPr>
          <w:color w:val="000000" w:themeColor="text1"/>
        </w:rPr>
        <w:t>,</w:t>
      </w:r>
      <w:r w:rsidR="007E1AFB" w:rsidRPr="00082AED">
        <w:rPr>
          <w:color w:val="000000" w:themeColor="text1"/>
        </w:rPr>
        <w:t xml:space="preserve"> the flush toilet </w:t>
      </w:r>
      <w:r w:rsidR="00B451F5" w:rsidRPr="00082AED">
        <w:rPr>
          <w:color w:val="000000" w:themeColor="text1"/>
        </w:rPr>
        <w:t xml:space="preserve">was </w:t>
      </w:r>
      <w:r w:rsidR="007E1AFB" w:rsidRPr="00082AED">
        <w:rPr>
          <w:color w:val="000000" w:themeColor="text1"/>
        </w:rPr>
        <w:t>widely used and</w:t>
      </w:r>
      <w:r w:rsidR="00D10270" w:rsidRPr="00082AED">
        <w:rPr>
          <w:color w:val="000000" w:themeColor="text1"/>
        </w:rPr>
        <w:t xml:space="preserve"> became</w:t>
      </w:r>
      <w:r w:rsidR="007E1AFB" w:rsidRPr="00082AED">
        <w:rPr>
          <w:color w:val="000000" w:themeColor="text1"/>
        </w:rPr>
        <w:t xml:space="preserve"> the standard </w:t>
      </w:r>
      <w:r w:rsidR="003949B5" w:rsidRPr="00082AED">
        <w:rPr>
          <w:color w:val="000000" w:themeColor="text1"/>
        </w:rPr>
        <w:t>in most developed areas</w:t>
      </w:r>
      <w:r w:rsidR="007E1AFB" w:rsidRPr="00082AED">
        <w:rPr>
          <w:color w:val="000000" w:themeColor="text1"/>
        </w:rPr>
        <w:t>.</w:t>
      </w:r>
      <w:r w:rsidR="007E1AFB" w:rsidRPr="00082AED">
        <w:rPr>
          <w:rStyle w:val="FootnoteReference"/>
          <w:color w:val="000000" w:themeColor="text1"/>
        </w:rPr>
        <w:footnoteReference w:id="89"/>
      </w:r>
      <w:r w:rsidR="003008F0" w:rsidRPr="00082AED">
        <w:rPr>
          <w:color w:val="000000" w:themeColor="text1"/>
        </w:rPr>
        <w:t xml:space="preserve"> </w:t>
      </w:r>
      <w:r w:rsidR="005E285F" w:rsidRPr="00082AED">
        <w:rPr>
          <w:color w:val="000000" w:themeColor="text1"/>
        </w:rPr>
        <w:t xml:space="preserve"> </w:t>
      </w:r>
      <w:r w:rsidR="003008F0" w:rsidRPr="00082AED">
        <w:rPr>
          <w:color w:val="000000" w:themeColor="text1"/>
        </w:rPr>
        <w:t>In urban and suburban areas, sanitary sewers became the norm.</w:t>
      </w:r>
      <w:r w:rsidR="003008F0" w:rsidRPr="00082AED">
        <w:rPr>
          <w:rStyle w:val="FootnoteReference"/>
          <w:color w:val="000000" w:themeColor="text1"/>
        </w:rPr>
        <w:footnoteReference w:id="90"/>
      </w:r>
      <w:r w:rsidR="003008F0" w:rsidRPr="00082AED">
        <w:rPr>
          <w:color w:val="000000" w:themeColor="text1"/>
        </w:rPr>
        <w:t xml:space="preserve"> People dwelling in rural areas often needed to</w:t>
      </w:r>
      <w:r w:rsidR="00B451F5" w:rsidRPr="00082AED">
        <w:rPr>
          <w:color w:val="000000" w:themeColor="text1"/>
        </w:rPr>
        <w:t xml:space="preserve"> </w:t>
      </w:r>
      <w:r w:rsidR="003008F0" w:rsidRPr="00082AED">
        <w:rPr>
          <w:color w:val="000000" w:themeColor="text1"/>
        </w:rPr>
        <w:t>dispose their waste by way of on-lot septic systems</w:t>
      </w:r>
      <w:r w:rsidR="00B451F5" w:rsidRPr="00082AED">
        <w:rPr>
          <w:color w:val="000000" w:themeColor="text1"/>
        </w:rPr>
        <w:t>, a practice that continues today</w:t>
      </w:r>
      <w:r w:rsidR="003008F0" w:rsidRPr="00082AED">
        <w:rPr>
          <w:color w:val="000000" w:themeColor="text1"/>
        </w:rPr>
        <w:t>.</w:t>
      </w:r>
      <w:r w:rsidR="003008F0" w:rsidRPr="00082AED">
        <w:rPr>
          <w:rStyle w:val="FootnoteReference"/>
          <w:color w:val="000000" w:themeColor="text1"/>
        </w:rPr>
        <w:footnoteReference w:id="91"/>
      </w:r>
    </w:p>
    <w:p w14:paraId="4A3E234F" w14:textId="11BA39F5" w:rsidR="00B61CFB" w:rsidRPr="00082AED" w:rsidRDefault="005654E3" w:rsidP="00150C8D">
      <w:pPr>
        <w:spacing w:line="480" w:lineRule="auto"/>
        <w:ind w:firstLine="360"/>
        <w:rPr>
          <w:color w:val="000000" w:themeColor="text1"/>
        </w:rPr>
      </w:pPr>
      <w:r w:rsidRPr="00082AED">
        <w:rPr>
          <w:color w:val="000000" w:themeColor="text1"/>
        </w:rPr>
        <w:t>In the mid-twentieth century, Pennsylvanians became increasingly aware of the need to conserve natural resources.</w:t>
      </w:r>
      <w:r w:rsidRPr="00082AED">
        <w:rPr>
          <w:rStyle w:val="FootnoteReference"/>
          <w:color w:val="000000" w:themeColor="text1"/>
        </w:rPr>
        <w:footnoteReference w:id="92"/>
      </w:r>
      <w:r w:rsidR="005E285F" w:rsidRPr="00082AED">
        <w:rPr>
          <w:color w:val="000000" w:themeColor="text1"/>
        </w:rPr>
        <w:t xml:space="preserve">  </w:t>
      </w:r>
      <w:r w:rsidR="00562EBA" w:rsidRPr="00082AED">
        <w:rPr>
          <w:color w:val="000000" w:themeColor="text1"/>
        </w:rPr>
        <w:t xml:space="preserve">No longer would rampant dumping of mining waste and sewage into the waters of the </w:t>
      </w:r>
      <w:r w:rsidR="008B1777" w:rsidRPr="00082AED">
        <w:rPr>
          <w:color w:val="000000" w:themeColor="text1"/>
        </w:rPr>
        <w:t>C</w:t>
      </w:r>
      <w:r w:rsidR="00562EBA" w:rsidRPr="00082AED">
        <w:rPr>
          <w:color w:val="000000" w:themeColor="text1"/>
        </w:rPr>
        <w:t xml:space="preserve">ommonwealth </w:t>
      </w:r>
      <w:r w:rsidR="008F6940" w:rsidRPr="00082AED">
        <w:rPr>
          <w:color w:val="000000" w:themeColor="text1"/>
        </w:rPr>
        <w:t>be tolerated</w:t>
      </w:r>
      <w:r w:rsidR="00562EBA" w:rsidRPr="00082AED">
        <w:rPr>
          <w:color w:val="000000" w:themeColor="text1"/>
        </w:rPr>
        <w:t>.</w:t>
      </w:r>
      <w:r w:rsidR="00562EBA" w:rsidRPr="00082AED">
        <w:rPr>
          <w:rStyle w:val="FootnoteReference"/>
          <w:color w:val="000000" w:themeColor="text1"/>
        </w:rPr>
        <w:footnoteReference w:id="93"/>
      </w:r>
      <w:r w:rsidR="005E285F" w:rsidRPr="00082AED">
        <w:rPr>
          <w:color w:val="000000" w:themeColor="text1"/>
        </w:rPr>
        <w:t xml:space="preserve">  </w:t>
      </w:r>
      <w:r w:rsidR="008F6940" w:rsidRPr="00082AED">
        <w:rPr>
          <w:color w:val="000000" w:themeColor="text1"/>
        </w:rPr>
        <w:t>Clean stream laws came into being after decades of abuse.</w:t>
      </w:r>
      <w:r w:rsidR="008F6940" w:rsidRPr="00082AED">
        <w:rPr>
          <w:rStyle w:val="FootnoteReference"/>
          <w:color w:val="000000" w:themeColor="text1"/>
        </w:rPr>
        <w:footnoteReference w:id="94"/>
      </w:r>
      <w:r w:rsidR="008F6940" w:rsidRPr="00082AED">
        <w:rPr>
          <w:color w:val="000000" w:themeColor="text1"/>
        </w:rPr>
        <w:t xml:space="preserve"> </w:t>
      </w:r>
      <w:r w:rsidR="002B33E2" w:rsidRPr="00082AED">
        <w:rPr>
          <w:color w:val="000000" w:themeColor="text1"/>
        </w:rPr>
        <w:t xml:space="preserve"> </w:t>
      </w:r>
      <w:r w:rsidR="00B61CFB" w:rsidRPr="00082AED">
        <w:rPr>
          <w:color w:val="000000" w:themeColor="text1"/>
        </w:rPr>
        <w:t>In 1966, the Pennsylvania General Assembly passed the Sewer Facilities Act</w:t>
      </w:r>
      <w:r w:rsidR="003008F0" w:rsidRPr="00082AED">
        <w:rPr>
          <w:color w:val="000000" w:themeColor="text1"/>
        </w:rPr>
        <w:t xml:space="preserve"> “to protect the public health, safety and welfare of its citizens through the development and implementation of plans for the sanitary disposal of sewage waste.”</w:t>
      </w:r>
      <w:r w:rsidR="00B61CFB" w:rsidRPr="00082AED">
        <w:rPr>
          <w:rStyle w:val="FootnoteReference"/>
          <w:color w:val="000000" w:themeColor="text1"/>
        </w:rPr>
        <w:footnoteReference w:id="95"/>
      </w:r>
      <w:r w:rsidR="00B61CFB" w:rsidRPr="00082AED">
        <w:rPr>
          <w:color w:val="000000" w:themeColor="text1"/>
        </w:rPr>
        <w:t xml:space="preserve"> </w:t>
      </w:r>
      <w:r w:rsidR="002B33E2" w:rsidRPr="00082AED">
        <w:rPr>
          <w:color w:val="000000" w:themeColor="text1"/>
        </w:rPr>
        <w:t xml:space="preserve"> </w:t>
      </w:r>
      <w:r w:rsidR="00862966" w:rsidRPr="00082AED">
        <w:rPr>
          <w:color w:val="000000" w:themeColor="text1"/>
        </w:rPr>
        <w:t>It require</w:t>
      </w:r>
      <w:r w:rsidR="00D10270" w:rsidRPr="00082AED">
        <w:rPr>
          <w:color w:val="000000" w:themeColor="text1"/>
        </w:rPr>
        <w:t>d</w:t>
      </w:r>
      <w:r w:rsidR="00862966" w:rsidRPr="00082AED">
        <w:rPr>
          <w:color w:val="000000" w:themeColor="text1"/>
        </w:rPr>
        <w:t xml:space="preserve"> all municipalities to participate in sewage disposal planning and provided the authority local communities require</w:t>
      </w:r>
      <w:r w:rsidR="00034047" w:rsidRPr="00082AED">
        <w:rPr>
          <w:color w:val="000000" w:themeColor="text1"/>
        </w:rPr>
        <w:t>d</w:t>
      </w:r>
      <w:r w:rsidR="00862966" w:rsidRPr="00082AED">
        <w:rPr>
          <w:color w:val="000000" w:themeColor="text1"/>
        </w:rPr>
        <w:t xml:space="preserve"> to enforce sewage violations.</w:t>
      </w:r>
      <w:r w:rsidR="00862966" w:rsidRPr="00082AED">
        <w:rPr>
          <w:rStyle w:val="FootnoteReference"/>
          <w:color w:val="000000" w:themeColor="text1"/>
        </w:rPr>
        <w:footnoteReference w:id="96"/>
      </w:r>
      <w:r w:rsidR="00862966" w:rsidRPr="00082AED">
        <w:rPr>
          <w:color w:val="000000" w:themeColor="text1"/>
        </w:rPr>
        <w:t xml:space="preserve"> </w:t>
      </w:r>
      <w:r w:rsidR="002B33E2" w:rsidRPr="00082AED">
        <w:rPr>
          <w:color w:val="000000" w:themeColor="text1"/>
        </w:rPr>
        <w:t xml:space="preserve"> </w:t>
      </w:r>
      <w:r w:rsidR="00862966" w:rsidRPr="00082AED">
        <w:rPr>
          <w:color w:val="000000" w:themeColor="text1"/>
        </w:rPr>
        <w:t>Through this planning and enforcement program, municipalities began to develop local regulations like Sugar Grove Township’s Privy Ordinance.</w:t>
      </w:r>
      <w:r w:rsidR="00862966" w:rsidRPr="00082AED">
        <w:rPr>
          <w:rStyle w:val="FootnoteReference"/>
          <w:color w:val="000000" w:themeColor="text1"/>
        </w:rPr>
        <w:footnoteReference w:id="97"/>
      </w:r>
      <w:r w:rsidR="00862966" w:rsidRPr="00082AED">
        <w:rPr>
          <w:color w:val="000000" w:themeColor="text1"/>
        </w:rPr>
        <w:t xml:space="preserve"> </w:t>
      </w:r>
    </w:p>
    <w:p w14:paraId="5530BEB7" w14:textId="36692196" w:rsidR="00562EBA" w:rsidRPr="00082AED" w:rsidRDefault="00562EBA" w:rsidP="00150C8D">
      <w:pPr>
        <w:spacing w:line="480" w:lineRule="auto"/>
        <w:ind w:firstLine="360"/>
        <w:rPr>
          <w:color w:val="000000" w:themeColor="text1"/>
        </w:rPr>
      </w:pPr>
      <w:r w:rsidRPr="00082AED">
        <w:rPr>
          <w:color w:val="000000" w:themeColor="text1"/>
        </w:rPr>
        <w:t xml:space="preserve">In May of 1971, the Environmental Rights Amendment </w:t>
      </w:r>
      <w:r w:rsidR="00BF41BC" w:rsidRPr="00082AED">
        <w:rPr>
          <w:color w:val="000000" w:themeColor="text1"/>
        </w:rPr>
        <w:t>was added to the</w:t>
      </w:r>
      <w:r w:rsidRPr="00082AED">
        <w:rPr>
          <w:color w:val="000000" w:themeColor="text1"/>
        </w:rPr>
        <w:t xml:space="preserve"> </w:t>
      </w:r>
      <w:r w:rsidR="00BF41BC" w:rsidRPr="00082AED">
        <w:rPr>
          <w:color w:val="000000" w:themeColor="text1"/>
        </w:rPr>
        <w:t>C</w:t>
      </w:r>
      <w:r w:rsidRPr="00082AED">
        <w:rPr>
          <w:color w:val="000000" w:themeColor="text1"/>
        </w:rPr>
        <w:t>onstitution</w:t>
      </w:r>
      <w:r w:rsidR="00BF41BC" w:rsidRPr="00082AED">
        <w:rPr>
          <w:color w:val="000000" w:themeColor="text1"/>
        </w:rPr>
        <w:t xml:space="preserve"> of Pennsylvania</w:t>
      </w:r>
      <w:r w:rsidRPr="00082AED">
        <w:rPr>
          <w:color w:val="000000" w:themeColor="text1"/>
        </w:rPr>
        <w:t>:</w:t>
      </w:r>
    </w:p>
    <w:p w14:paraId="7162E393" w14:textId="3B697DC1" w:rsidR="00861350" w:rsidRPr="00082AED" w:rsidRDefault="00562EBA" w:rsidP="00960964">
      <w:pPr>
        <w:ind w:left="720" w:right="720"/>
        <w:jc w:val="both"/>
        <w:rPr>
          <w:bCs/>
          <w:iCs/>
          <w:color w:val="000000" w:themeColor="text1"/>
        </w:rPr>
      </w:pPr>
      <w:r w:rsidRPr="00082AED">
        <w:rPr>
          <w:bCs/>
          <w:iCs/>
          <w:color w:val="000000" w:themeColor="text1"/>
        </w:rPr>
        <w:t xml:space="preserve">The people have a right to clean air, pure water, and to the preservation of the natural, scenic, historic and esthetic values of the environment. Pennsylvania’s </w:t>
      </w:r>
      <w:r w:rsidRPr="00082AED">
        <w:rPr>
          <w:bCs/>
          <w:iCs/>
          <w:color w:val="000000" w:themeColor="text1"/>
        </w:rPr>
        <w:lastRenderedPageBreak/>
        <w:t>public natural resources are the common property of all the people, including generations yet to come. As trustee of these resources, the Commonwealth shall conserve and maintain them for the benefit of all the people.</w:t>
      </w:r>
      <w:r w:rsidRPr="00082AED">
        <w:rPr>
          <w:rStyle w:val="FootnoteReference"/>
          <w:bCs/>
          <w:iCs/>
          <w:color w:val="000000" w:themeColor="text1"/>
        </w:rPr>
        <w:footnoteReference w:id="98"/>
      </w:r>
    </w:p>
    <w:p w14:paraId="590A3A91" w14:textId="77777777" w:rsidR="00861350" w:rsidRPr="00082AED" w:rsidRDefault="00861350" w:rsidP="00150C8D">
      <w:pPr>
        <w:ind w:right="720"/>
        <w:jc w:val="both"/>
        <w:rPr>
          <w:bCs/>
          <w:iCs/>
          <w:color w:val="000000" w:themeColor="text1"/>
        </w:rPr>
      </w:pPr>
    </w:p>
    <w:p w14:paraId="2096ABFD" w14:textId="304E16A4" w:rsidR="00862966" w:rsidRPr="00082AED" w:rsidRDefault="00862966" w:rsidP="00150C8D">
      <w:pPr>
        <w:spacing w:line="480" w:lineRule="auto"/>
        <w:ind w:firstLine="360"/>
        <w:rPr>
          <w:color w:val="000000" w:themeColor="text1"/>
        </w:rPr>
      </w:pPr>
      <w:r w:rsidRPr="00082AED">
        <w:rPr>
          <w:color w:val="000000" w:themeColor="text1"/>
        </w:rPr>
        <w:t>The growing environmental movement began to attack the old Amish ways of waste disposal.</w:t>
      </w:r>
      <w:r w:rsidRPr="00082AED">
        <w:rPr>
          <w:rStyle w:val="FootnoteReference"/>
          <w:color w:val="000000" w:themeColor="text1"/>
        </w:rPr>
        <w:footnoteReference w:id="99"/>
      </w:r>
      <w:r w:rsidRPr="00082AED">
        <w:rPr>
          <w:color w:val="000000" w:themeColor="text1"/>
        </w:rPr>
        <w:t xml:space="preserve"> </w:t>
      </w:r>
      <w:r w:rsidR="002B33E2" w:rsidRPr="00082AED">
        <w:rPr>
          <w:color w:val="000000" w:themeColor="text1"/>
        </w:rPr>
        <w:t xml:space="preserve"> </w:t>
      </w:r>
      <w:r w:rsidR="0063541D" w:rsidRPr="00082AED">
        <w:rPr>
          <w:color w:val="000000" w:themeColor="text1"/>
        </w:rPr>
        <w:t>Some</w:t>
      </w:r>
      <w:r w:rsidR="00324C0B" w:rsidRPr="00082AED">
        <w:rPr>
          <w:color w:val="000000" w:themeColor="text1"/>
        </w:rPr>
        <w:t xml:space="preserve"> Amish</w:t>
      </w:r>
      <w:r w:rsidRPr="00082AED">
        <w:rPr>
          <w:color w:val="000000" w:themeColor="text1"/>
        </w:rPr>
        <w:t xml:space="preserve"> </w:t>
      </w:r>
      <w:r w:rsidR="0063541D" w:rsidRPr="00082AED">
        <w:rPr>
          <w:color w:val="000000" w:themeColor="text1"/>
        </w:rPr>
        <w:t>found</w:t>
      </w:r>
      <w:r w:rsidRPr="00082AED">
        <w:rPr>
          <w:color w:val="000000" w:themeColor="text1"/>
        </w:rPr>
        <w:t xml:space="preserve"> themselves at the center of cases where the Sewage Facilities Act requirements clashed with their deep religious beliefs against connecting themselves to the outside world through electric wires and sewage lines.</w:t>
      </w:r>
      <w:r w:rsidRPr="00082AED">
        <w:rPr>
          <w:rStyle w:val="FootnoteReference"/>
          <w:color w:val="000000" w:themeColor="text1"/>
        </w:rPr>
        <w:footnoteReference w:id="100"/>
      </w:r>
      <w:r w:rsidRPr="00082AED">
        <w:rPr>
          <w:color w:val="000000" w:themeColor="text1"/>
        </w:rPr>
        <w:t xml:space="preserve"> </w:t>
      </w:r>
    </w:p>
    <w:p w14:paraId="70AAEE19" w14:textId="0771BB98" w:rsidR="00897D49" w:rsidRPr="00082AED" w:rsidRDefault="00861350" w:rsidP="00350F63">
      <w:pPr>
        <w:spacing w:line="480" w:lineRule="auto"/>
        <w:ind w:firstLine="360"/>
        <w:rPr>
          <w:color w:val="000000" w:themeColor="text1"/>
        </w:rPr>
      </w:pPr>
      <w:r w:rsidRPr="00082AED">
        <w:rPr>
          <w:i/>
          <w:color w:val="000000" w:themeColor="text1"/>
        </w:rPr>
        <w:t>Sugar Grove Twp. v. Byler</w:t>
      </w:r>
      <w:r w:rsidRPr="00082AED">
        <w:rPr>
          <w:color w:val="000000" w:themeColor="text1"/>
        </w:rPr>
        <w:t xml:space="preserve"> was one of several cases in which the religious beliefs of the Amish community of Warren County clashed with </w:t>
      </w:r>
      <w:r w:rsidR="00196F9F" w:rsidRPr="00082AED">
        <w:rPr>
          <w:color w:val="000000" w:themeColor="text1"/>
        </w:rPr>
        <w:t xml:space="preserve">increasing </w:t>
      </w:r>
      <w:r w:rsidRPr="00082AED">
        <w:rPr>
          <w:color w:val="000000" w:themeColor="text1"/>
        </w:rPr>
        <w:t>environmental and health concerns related to the use of privies</w:t>
      </w:r>
      <w:r w:rsidR="00862966" w:rsidRPr="00082AED">
        <w:rPr>
          <w:color w:val="000000" w:themeColor="text1"/>
        </w:rPr>
        <w:t xml:space="preserve"> in that area</w:t>
      </w:r>
      <w:r w:rsidRPr="00082AED">
        <w:rPr>
          <w:color w:val="000000" w:themeColor="text1"/>
        </w:rPr>
        <w:t>.</w:t>
      </w:r>
      <w:r w:rsidRPr="00082AED">
        <w:rPr>
          <w:rStyle w:val="FootnoteReference"/>
          <w:color w:val="000000" w:themeColor="text1"/>
        </w:rPr>
        <w:footnoteReference w:id="101"/>
      </w:r>
      <w:r w:rsidR="002B33E2" w:rsidRPr="00082AED">
        <w:rPr>
          <w:rStyle w:val="FootnoteReference"/>
          <w:color w:val="000000" w:themeColor="text1"/>
        </w:rPr>
        <w:t xml:space="preserve"> </w:t>
      </w:r>
      <w:r w:rsidR="002B33E2" w:rsidRPr="00082AED">
        <w:rPr>
          <w:color w:val="000000" w:themeColor="text1"/>
        </w:rPr>
        <w:t xml:space="preserve"> </w:t>
      </w:r>
      <w:r w:rsidR="005E285F" w:rsidRPr="00082AED">
        <w:rPr>
          <w:color w:val="000000" w:themeColor="text1"/>
        </w:rPr>
        <w:t>These cases pitted the Free Exercise Clause of the United States Constitution against protection of the environment, clean water, and public health.</w:t>
      </w:r>
    </w:p>
    <w:p w14:paraId="374B2782" w14:textId="3EC7529E" w:rsidR="00CF2C19" w:rsidRPr="00082AED" w:rsidRDefault="00897D49" w:rsidP="00897D49">
      <w:pPr>
        <w:spacing w:line="480" w:lineRule="auto"/>
        <w:ind w:firstLine="360"/>
        <w:rPr>
          <w:color w:val="000000" w:themeColor="text1"/>
        </w:rPr>
      </w:pPr>
      <w:r w:rsidRPr="00082AED">
        <w:rPr>
          <w:color w:val="000000" w:themeColor="text1"/>
        </w:rPr>
        <w:t xml:space="preserve">Free exercise </w:t>
      </w:r>
      <w:r w:rsidR="00FD00B0" w:rsidRPr="00082AED">
        <w:rPr>
          <w:color w:val="000000" w:themeColor="text1"/>
        </w:rPr>
        <w:t xml:space="preserve">of religion </w:t>
      </w:r>
      <w:r w:rsidRPr="00082AED">
        <w:rPr>
          <w:color w:val="000000" w:themeColor="text1"/>
        </w:rPr>
        <w:t>i</w:t>
      </w:r>
      <w:r w:rsidR="00FD00B0" w:rsidRPr="00082AED">
        <w:rPr>
          <w:color w:val="000000" w:themeColor="text1"/>
        </w:rPr>
        <w:t>s one of the core rights under the First Amendment of the United States Constitution.</w:t>
      </w:r>
      <w:r w:rsidR="00FD00B0" w:rsidRPr="00082AED">
        <w:rPr>
          <w:rStyle w:val="FootnoteReference"/>
          <w:color w:val="000000" w:themeColor="text1"/>
        </w:rPr>
        <w:footnoteReference w:id="102"/>
      </w:r>
      <w:r w:rsidR="002B33E2" w:rsidRPr="00082AED">
        <w:rPr>
          <w:color w:val="000000" w:themeColor="text1"/>
        </w:rPr>
        <w:t xml:space="preserve">  </w:t>
      </w:r>
      <w:r w:rsidR="00CF2C19" w:rsidRPr="00082AED">
        <w:rPr>
          <w:color w:val="000000" w:themeColor="text1"/>
        </w:rPr>
        <w:t>A</w:t>
      </w:r>
      <w:r w:rsidRPr="00082AED">
        <w:rPr>
          <w:color w:val="000000" w:themeColor="text1"/>
        </w:rPr>
        <w:t>dditionally, A</w:t>
      </w:r>
      <w:r w:rsidR="00CF2C19" w:rsidRPr="00082AED">
        <w:rPr>
          <w:color w:val="000000" w:themeColor="text1"/>
        </w:rPr>
        <w:t>rticle I, Section 3 of the Pennsylvania Constitution declares that religious freedom is one of the inherent rights of mankind.</w:t>
      </w:r>
      <w:r w:rsidR="00CF2C19" w:rsidRPr="00082AED">
        <w:rPr>
          <w:rStyle w:val="FootnoteReference"/>
          <w:color w:val="000000" w:themeColor="text1"/>
        </w:rPr>
        <w:footnoteReference w:id="103"/>
      </w:r>
      <w:r w:rsidR="002B33E2" w:rsidRPr="00082AED">
        <w:rPr>
          <w:color w:val="000000" w:themeColor="text1"/>
        </w:rPr>
        <w:t xml:space="preserve">  </w:t>
      </w:r>
      <w:r w:rsidR="00CF2C19" w:rsidRPr="00082AED">
        <w:rPr>
          <w:color w:val="000000" w:themeColor="text1"/>
        </w:rPr>
        <w:t>It states as follows:</w:t>
      </w:r>
    </w:p>
    <w:p w14:paraId="2556EBFB" w14:textId="476B74FF" w:rsidR="00CF2C19" w:rsidRPr="00082AED" w:rsidRDefault="00CF2C19" w:rsidP="007840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color w:val="000000" w:themeColor="text1"/>
        </w:rPr>
      </w:pPr>
      <w:r w:rsidRPr="00082AED">
        <w:rPr>
          <w:color w:val="000000" w:themeColor="text1"/>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whatever, control or interfere with the rights of conscience, and no preference shall ever be given by law to any religious establishments or modes of worship.</w:t>
      </w:r>
      <w:r w:rsidRPr="00082AED">
        <w:rPr>
          <w:rStyle w:val="FootnoteReference"/>
          <w:color w:val="000000" w:themeColor="text1"/>
        </w:rPr>
        <w:footnoteReference w:id="104"/>
      </w:r>
    </w:p>
    <w:p w14:paraId="3653E9F9" w14:textId="4C43C118" w:rsidR="0093729D" w:rsidRPr="00082AED" w:rsidRDefault="0093729D" w:rsidP="009372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color w:val="000000" w:themeColor="text1"/>
        </w:rPr>
      </w:pPr>
    </w:p>
    <w:p w14:paraId="4C6F37D7" w14:textId="09AEFD13" w:rsidR="00E211BA" w:rsidRPr="00082AED" w:rsidRDefault="0093729D" w:rsidP="00FD00B0">
      <w:pPr>
        <w:spacing w:line="480" w:lineRule="auto"/>
        <w:ind w:firstLine="360"/>
        <w:rPr>
          <w:color w:val="000000" w:themeColor="text1"/>
        </w:rPr>
      </w:pPr>
      <w:r w:rsidRPr="00082AED">
        <w:rPr>
          <w:color w:val="000000" w:themeColor="text1"/>
        </w:rPr>
        <w:lastRenderedPageBreak/>
        <w:t xml:space="preserve">As pacifists, Amish people </w:t>
      </w:r>
      <w:r w:rsidR="00E211BA" w:rsidRPr="00082AED">
        <w:rPr>
          <w:color w:val="000000" w:themeColor="text1"/>
        </w:rPr>
        <w:t xml:space="preserve">have </w:t>
      </w:r>
      <w:r w:rsidRPr="00082AED">
        <w:rPr>
          <w:color w:val="000000" w:themeColor="text1"/>
        </w:rPr>
        <w:t>rarely take</w:t>
      </w:r>
      <w:r w:rsidR="00E211BA" w:rsidRPr="00082AED">
        <w:rPr>
          <w:color w:val="000000" w:themeColor="text1"/>
        </w:rPr>
        <w:t>n</w:t>
      </w:r>
      <w:r w:rsidRPr="00082AED">
        <w:rPr>
          <w:color w:val="000000" w:themeColor="text1"/>
        </w:rPr>
        <w:t xml:space="preserve"> to the courts to assert their </w:t>
      </w:r>
      <w:r w:rsidR="00FD00B0" w:rsidRPr="00082AED">
        <w:rPr>
          <w:color w:val="000000" w:themeColor="text1"/>
        </w:rPr>
        <w:t xml:space="preserve">religious </w:t>
      </w:r>
      <w:r w:rsidRPr="00082AED">
        <w:rPr>
          <w:color w:val="000000" w:themeColor="text1"/>
        </w:rPr>
        <w:t>rights because litigation is deemed as the use of force against others.</w:t>
      </w:r>
      <w:r w:rsidRPr="00082AED">
        <w:rPr>
          <w:rStyle w:val="FootnoteReference"/>
          <w:color w:val="000000" w:themeColor="text1"/>
        </w:rPr>
        <w:footnoteReference w:id="105"/>
      </w:r>
      <w:r w:rsidR="005E285F" w:rsidRPr="00082AED">
        <w:rPr>
          <w:color w:val="000000" w:themeColor="text1"/>
        </w:rPr>
        <w:t xml:space="preserve">  </w:t>
      </w:r>
      <w:r w:rsidRPr="00082AED">
        <w:rPr>
          <w:color w:val="000000" w:themeColor="text1"/>
        </w:rPr>
        <w:t>Peaceful resolution of conflict is preferable to them.</w:t>
      </w:r>
      <w:r w:rsidRPr="00082AED">
        <w:rPr>
          <w:rStyle w:val="FootnoteReference"/>
          <w:color w:val="000000" w:themeColor="text1"/>
        </w:rPr>
        <w:footnoteReference w:id="106"/>
      </w:r>
      <w:r w:rsidRPr="00082AED">
        <w:rPr>
          <w:color w:val="000000" w:themeColor="text1"/>
        </w:rPr>
        <w:t xml:space="preserve"> </w:t>
      </w:r>
      <w:r w:rsidR="005E285F" w:rsidRPr="00082AED">
        <w:rPr>
          <w:color w:val="000000" w:themeColor="text1"/>
        </w:rPr>
        <w:t xml:space="preserve">  </w:t>
      </w:r>
      <w:r w:rsidRPr="00082AED">
        <w:rPr>
          <w:color w:val="000000" w:themeColor="text1"/>
        </w:rPr>
        <w:t>The Amish</w:t>
      </w:r>
      <w:r w:rsidR="00E211BA" w:rsidRPr="00082AED">
        <w:rPr>
          <w:color w:val="000000" w:themeColor="text1"/>
        </w:rPr>
        <w:t xml:space="preserve"> have</w:t>
      </w:r>
      <w:r w:rsidRPr="00082AED">
        <w:rPr>
          <w:color w:val="000000" w:themeColor="text1"/>
        </w:rPr>
        <w:t>, however, sometimes use</w:t>
      </w:r>
      <w:r w:rsidR="00E211BA" w:rsidRPr="00082AED">
        <w:rPr>
          <w:color w:val="000000" w:themeColor="text1"/>
        </w:rPr>
        <w:t>d</w:t>
      </w:r>
      <w:r w:rsidRPr="00082AED">
        <w:rPr>
          <w:color w:val="000000" w:themeColor="text1"/>
        </w:rPr>
        <w:t xml:space="preserve"> the courts to stand up for themselves in cases where the</w:t>
      </w:r>
      <w:r w:rsidR="00870352" w:rsidRPr="00082AED">
        <w:rPr>
          <w:color w:val="000000" w:themeColor="text1"/>
        </w:rPr>
        <w:t>ir conscience</w:t>
      </w:r>
      <w:r w:rsidRPr="00082AED">
        <w:rPr>
          <w:color w:val="000000" w:themeColor="text1"/>
        </w:rPr>
        <w:t xml:space="preserve"> </w:t>
      </w:r>
      <w:r w:rsidR="00870352" w:rsidRPr="00082AED">
        <w:rPr>
          <w:color w:val="000000" w:themeColor="text1"/>
        </w:rPr>
        <w:t xml:space="preserve">dictates, especially when they </w:t>
      </w:r>
      <w:r w:rsidR="000B3DDE" w:rsidRPr="00082AED">
        <w:rPr>
          <w:color w:val="000000" w:themeColor="text1"/>
        </w:rPr>
        <w:t xml:space="preserve">believe they </w:t>
      </w:r>
      <w:r w:rsidR="00870352" w:rsidRPr="00082AED">
        <w:rPr>
          <w:color w:val="000000" w:themeColor="text1"/>
        </w:rPr>
        <w:t xml:space="preserve">were </w:t>
      </w:r>
      <w:r w:rsidRPr="00082AED">
        <w:rPr>
          <w:color w:val="000000" w:themeColor="text1"/>
        </w:rPr>
        <w:t>unjustly sued or prosecuted</w:t>
      </w:r>
      <w:r w:rsidR="006929C7" w:rsidRPr="00082AED">
        <w:rPr>
          <w:color w:val="000000" w:themeColor="text1"/>
        </w:rPr>
        <w:t xml:space="preserve"> for </w:t>
      </w:r>
      <w:r w:rsidR="00870352" w:rsidRPr="00082AED">
        <w:rPr>
          <w:color w:val="000000" w:themeColor="text1"/>
        </w:rPr>
        <w:t xml:space="preserve">their </w:t>
      </w:r>
      <w:r w:rsidR="006929C7" w:rsidRPr="00082AED">
        <w:rPr>
          <w:color w:val="000000" w:themeColor="text1"/>
        </w:rPr>
        <w:t>religious beliefs</w:t>
      </w:r>
      <w:r w:rsidRPr="00082AED">
        <w:rPr>
          <w:color w:val="000000" w:themeColor="text1"/>
        </w:rPr>
        <w:t>.</w:t>
      </w:r>
      <w:r w:rsidR="002B33E2" w:rsidRPr="00082AED">
        <w:rPr>
          <w:rStyle w:val="FootnoteReference"/>
          <w:color w:val="000000" w:themeColor="text1"/>
        </w:rPr>
        <w:footnoteReference w:id="107"/>
      </w:r>
    </w:p>
    <w:p w14:paraId="219BCC18" w14:textId="55F0D7F8" w:rsidR="00F11F03" w:rsidRPr="00082AED" w:rsidRDefault="0093729D" w:rsidP="00F11F03">
      <w:pPr>
        <w:spacing w:line="480" w:lineRule="auto"/>
        <w:ind w:firstLine="360"/>
        <w:rPr>
          <w:color w:val="000000" w:themeColor="text1"/>
          <w:shd w:val="clear" w:color="auto" w:fill="FFFFFF"/>
        </w:rPr>
      </w:pPr>
      <w:r w:rsidRPr="00082AED">
        <w:rPr>
          <w:color w:val="000000" w:themeColor="text1"/>
        </w:rPr>
        <w:t>In the 1972</w:t>
      </w:r>
      <w:r w:rsidR="006962FF" w:rsidRPr="00082AED">
        <w:rPr>
          <w:color w:val="000000" w:themeColor="text1"/>
        </w:rPr>
        <w:t xml:space="preserve"> </w:t>
      </w:r>
      <w:r w:rsidRPr="00082AED">
        <w:rPr>
          <w:i/>
          <w:color w:val="000000" w:themeColor="text1"/>
        </w:rPr>
        <w:t>Wisconsin v. Yoder</w:t>
      </w:r>
      <w:r w:rsidRPr="00082AED">
        <w:rPr>
          <w:color w:val="000000" w:themeColor="text1"/>
        </w:rPr>
        <w:t xml:space="preserve"> </w:t>
      </w:r>
      <w:r w:rsidR="006962FF" w:rsidRPr="00082AED">
        <w:rPr>
          <w:color w:val="000000" w:themeColor="text1"/>
        </w:rPr>
        <w:t xml:space="preserve">case, </w:t>
      </w:r>
      <w:r w:rsidRPr="00082AED">
        <w:rPr>
          <w:color w:val="000000" w:themeColor="text1"/>
        </w:rPr>
        <w:t>three Amish fathers</w:t>
      </w:r>
      <w:r w:rsidR="00332681" w:rsidRPr="00082AED">
        <w:rPr>
          <w:color w:val="000000" w:themeColor="text1"/>
        </w:rPr>
        <w:t xml:space="preserve"> were </w:t>
      </w:r>
      <w:r w:rsidRPr="00082AED">
        <w:rPr>
          <w:color w:val="000000" w:themeColor="text1"/>
        </w:rPr>
        <w:t xml:space="preserve">convicted of violating their state’s compulsory school-attendance laws </w:t>
      </w:r>
      <w:r w:rsidR="00332681" w:rsidRPr="00082AED">
        <w:rPr>
          <w:color w:val="000000" w:themeColor="text1"/>
        </w:rPr>
        <w:t>by refusing</w:t>
      </w:r>
      <w:r w:rsidRPr="00082AED">
        <w:rPr>
          <w:color w:val="000000" w:themeColor="text1"/>
        </w:rPr>
        <w:t xml:space="preserve"> to send their teen-aged children to public </w:t>
      </w:r>
      <w:r w:rsidR="00332681" w:rsidRPr="00082AED">
        <w:rPr>
          <w:color w:val="000000" w:themeColor="text1"/>
        </w:rPr>
        <w:t xml:space="preserve">high </w:t>
      </w:r>
      <w:r w:rsidRPr="00082AED">
        <w:rPr>
          <w:color w:val="000000" w:themeColor="text1"/>
        </w:rPr>
        <w:t>school</w:t>
      </w:r>
      <w:r w:rsidR="00C91BE2" w:rsidRPr="00082AED">
        <w:rPr>
          <w:color w:val="000000" w:themeColor="text1"/>
        </w:rPr>
        <w:t>.</w:t>
      </w:r>
      <w:r w:rsidR="00C91BE2" w:rsidRPr="00082AED">
        <w:rPr>
          <w:rStyle w:val="FootnoteReference"/>
          <w:color w:val="000000" w:themeColor="text1"/>
        </w:rPr>
        <w:footnoteReference w:id="108"/>
      </w:r>
      <w:r w:rsidR="00C91BE2" w:rsidRPr="00082AED">
        <w:rPr>
          <w:color w:val="000000" w:themeColor="text1"/>
        </w:rPr>
        <w:t xml:space="preserve"> </w:t>
      </w:r>
      <w:r w:rsidR="005E285F" w:rsidRPr="00082AED">
        <w:rPr>
          <w:color w:val="000000" w:themeColor="text1"/>
        </w:rPr>
        <w:t xml:space="preserve"> </w:t>
      </w:r>
      <w:r w:rsidR="00C91BE2" w:rsidRPr="00082AED">
        <w:rPr>
          <w:color w:val="000000" w:themeColor="text1"/>
        </w:rPr>
        <w:t xml:space="preserve">They </w:t>
      </w:r>
      <w:r w:rsidRPr="00082AED">
        <w:rPr>
          <w:color w:val="000000" w:themeColor="text1"/>
        </w:rPr>
        <w:t>appealed th</w:t>
      </w:r>
      <w:r w:rsidR="00332681" w:rsidRPr="00082AED">
        <w:rPr>
          <w:color w:val="000000" w:themeColor="text1"/>
        </w:rPr>
        <w:t>ose</w:t>
      </w:r>
      <w:r w:rsidRPr="00082AED">
        <w:rPr>
          <w:color w:val="000000" w:themeColor="text1"/>
        </w:rPr>
        <w:t xml:space="preserve"> conviction</w:t>
      </w:r>
      <w:r w:rsidR="00332681" w:rsidRPr="00082AED">
        <w:rPr>
          <w:color w:val="000000" w:themeColor="text1"/>
        </w:rPr>
        <w:t>s</w:t>
      </w:r>
      <w:r w:rsidRPr="00082AED">
        <w:rPr>
          <w:color w:val="000000" w:themeColor="text1"/>
        </w:rPr>
        <w:t xml:space="preserve"> all the way to the U.S. Supreme Court.</w:t>
      </w:r>
      <w:r w:rsidRPr="00082AED">
        <w:rPr>
          <w:rStyle w:val="FootnoteReference"/>
          <w:color w:val="000000" w:themeColor="text1"/>
        </w:rPr>
        <w:footnoteReference w:id="109"/>
      </w:r>
      <w:r w:rsidRPr="00082AED">
        <w:rPr>
          <w:color w:val="000000" w:themeColor="text1"/>
        </w:rPr>
        <w:t xml:space="preserve"> </w:t>
      </w:r>
      <w:r w:rsidR="005E285F" w:rsidRPr="00082AED">
        <w:rPr>
          <w:color w:val="000000" w:themeColor="text1"/>
        </w:rPr>
        <w:t xml:space="preserve"> </w:t>
      </w:r>
      <w:r w:rsidRPr="00082AED">
        <w:rPr>
          <w:color w:val="000000" w:themeColor="text1"/>
        </w:rPr>
        <w:t>This case marked the first time that “conflicts between the technology-shunning Amish and the government have been argued before the nation's highest court.</w:t>
      </w:r>
      <w:r w:rsidRPr="00082AED">
        <w:rPr>
          <w:rStyle w:val="FootnoteReference"/>
          <w:color w:val="000000" w:themeColor="text1"/>
        </w:rPr>
        <w:footnoteReference w:id="110"/>
      </w:r>
      <w:r w:rsidRPr="00082AED">
        <w:rPr>
          <w:color w:val="000000" w:themeColor="text1"/>
        </w:rPr>
        <w:t xml:space="preserve"> </w:t>
      </w:r>
      <w:r w:rsidR="005E285F" w:rsidRPr="00082AED">
        <w:rPr>
          <w:color w:val="000000" w:themeColor="text1"/>
        </w:rPr>
        <w:t xml:space="preserve"> </w:t>
      </w:r>
      <w:r w:rsidRPr="00082AED">
        <w:rPr>
          <w:color w:val="000000" w:themeColor="text1"/>
        </w:rPr>
        <w:t xml:space="preserve">The fathers argued that </w:t>
      </w:r>
      <w:r w:rsidRPr="00082AED">
        <w:rPr>
          <w:color w:val="000000" w:themeColor="text1"/>
          <w:shd w:val="clear" w:color="auto" w:fill="FFFFFF"/>
        </w:rPr>
        <w:t>under their deeply-held Amish religious beliefs</w:t>
      </w:r>
      <w:r w:rsidRPr="00082AED">
        <w:rPr>
          <w:color w:val="000000" w:themeColor="text1"/>
        </w:rPr>
        <w:t xml:space="preserve">, sending their children to </w:t>
      </w:r>
      <w:r w:rsidR="00332681" w:rsidRPr="00082AED">
        <w:rPr>
          <w:color w:val="000000" w:themeColor="text1"/>
        </w:rPr>
        <w:t xml:space="preserve">public </w:t>
      </w:r>
      <w:r w:rsidRPr="00082AED">
        <w:rPr>
          <w:color w:val="000000" w:themeColor="text1"/>
        </w:rPr>
        <w:t>high school would cause the</w:t>
      </w:r>
      <w:r w:rsidR="00332681" w:rsidRPr="00082AED">
        <w:rPr>
          <w:color w:val="000000" w:themeColor="text1"/>
        </w:rPr>
        <w:t>ir families</w:t>
      </w:r>
      <w:r w:rsidRPr="00082AED">
        <w:rPr>
          <w:color w:val="000000" w:themeColor="text1"/>
        </w:rPr>
        <w:t xml:space="preserve"> to be censured by their church community </w:t>
      </w:r>
      <w:r w:rsidRPr="00082AED">
        <w:rPr>
          <w:color w:val="000000" w:themeColor="text1"/>
          <w:shd w:val="clear" w:color="auto" w:fill="FFFFFF"/>
        </w:rPr>
        <w:t>and would “endanger their own salvation and that of their children”.</w:t>
      </w:r>
      <w:r w:rsidRPr="00082AED">
        <w:rPr>
          <w:rStyle w:val="FootnoteReference"/>
          <w:color w:val="000000" w:themeColor="text1"/>
          <w:shd w:val="clear" w:color="auto" w:fill="FFFFFF"/>
        </w:rPr>
        <w:footnoteReference w:id="111"/>
      </w:r>
      <w:r w:rsidRPr="00082AED">
        <w:rPr>
          <w:color w:val="000000" w:themeColor="text1"/>
          <w:shd w:val="clear" w:color="auto" w:fill="FFFFFF"/>
        </w:rPr>
        <w:t xml:space="preserve"> </w:t>
      </w:r>
    </w:p>
    <w:p w14:paraId="27C6C2CE" w14:textId="49B8F6E3" w:rsidR="00E505ED" w:rsidRPr="00082AED" w:rsidRDefault="0093729D" w:rsidP="00F11F03">
      <w:pPr>
        <w:spacing w:line="480" w:lineRule="auto"/>
        <w:ind w:firstLine="360"/>
        <w:rPr>
          <w:color w:val="000000" w:themeColor="text1"/>
          <w:shd w:val="clear" w:color="auto" w:fill="FFFFFF"/>
        </w:rPr>
      </w:pPr>
      <w:r w:rsidRPr="00082AED">
        <w:rPr>
          <w:color w:val="000000" w:themeColor="text1"/>
          <w:shd w:val="clear" w:color="auto" w:fill="FFFFFF"/>
        </w:rPr>
        <w:t xml:space="preserve">In its landmark decision, the </w:t>
      </w:r>
      <w:r w:rsidR="0018238B" w:rsidRPr="00082AED">
        <w:rPr>
          <w:color w:val="000000" w:themeColor="text1"/>
          <w:shd w:val="clear" w:color="auto" w:fill="FFFFFF"/>
        </w:rPr>
        <w:t xml:space="preserve">Supreme </w:t>
      </w:r>
      <w:r w:rsidRPr="00082AED">
        <w:rPr>
          <w:color w:val="000000" w:themeColor="text1"/>
          <w:shd w:val="clear" w:color="auto" w:fill="FFFFFF"/>
        </w:rPr>
        <w:t>Court ruled that the Amish had a right to school their children in a manner consistent with th</w:t>
      </w:r>
      <w:r w:rsidR="00332681" w:rsidRPr="00082AED">
        <w:rPr>
          <w:color w:val="000000" w:themeColor="text1"/>
          <w:shd w:val="clear" w:color="auto" w:fill="FFFFFF"/>
        </w:rPr>
        <w:t>eir</w:t>
      </w:r>
      <w:r w:rsidRPr="00082AED">
        <w:rPr>
          <w:color w:val="000000" w:themeColor="text1"/>
          <w:shd w:val="clear" w:color="auto" w:fill="FFFFFF"/>
        </w:rPr>
        <w:t xml:space="preserve"> beliefs, </w:t>
      </w:r>
      <w:r w:rsidR="00332681" w:rsidRPr="00082AED">
        <w:rPr>
          <w:color w:val="000000" w:themeColor="text1"/>
          <w:shd w:val="clear" w:color="auto" w:fill="FFFFFF"/>
        </w:rPr>
        <w:t>as</w:t>
      </w:r>
      <w:r w:rsidRPr="00082AED">
        <w:rPr>
          <w:color w:val="000000" w:themeColor="text1"/>
          <w:shd w:val="clear" w:color="auto" w:fill="FFFFFF"/>
        </w:rPr>
        <w:t xml:space="preserve"> “the</w:t>
      </w:r>
      <w:r w:rsidRPr="00082AED">
        <w:rPr>
          <w:rStyle w:val="apple-converted-space"/>
          <w:color w:val="000000" w:themeColor="text1"/>
          <w:shd w:val="clear" w:color="auto" w:fill="FFFFFF"/>
        </w:rPr>
        <w:t> </w:t>
      </w:r>
      <w:r w:rsidRPr="00082AED">
        <w:rPr>
          <w:color w:val="000000" w:themeColor="text1"/>
          <w:shd w:val="clear" w:color="auto" w:fill="FFFFFF"/>
        </w:rPr>
        <w:t>First</w:t>
      </w:r>
      <w:r w:rsidRPr="00082AED">
        <w:rPr>
          <w:rStyle w:val="apple-converted-space"/>
          <w:color w:val="000000" w:themeColor="text1"/>
          <w:shd w:val="clear" w:color="auto" w:fill="FFFFFF"/>
        </w:rPr>
        <w:t> </w:t>
      </w:r>
      <w:r w:rsidRPr="00082AED">
        <w:rPr>
          <w:color w:val="000000" w:themeColor="text1"/>
          <w:shd w:val="clear" w:color="auto" w:fill="FFFFFF"/>
        </w:rPr>
        <w:t>and</w:t>
      </w:r>
      <w:r w:rsidRPr="00082AED">
        <w:rPr>
          <w:rStyle w:val="apple-converted-space"/>
          <w:color w:val="000000" w:themeColor="text1"/>
          <w:shd w:val="clear" w:color="auto" w:fill="FFFFFF"/>
        </w:rPr>
        <w:t> </w:t>
      </w:r>
      <w:r w:rsidRPr="00082AED">
        <w:rPr>
          <w:color w:val="000000" w:themeColor="text1"/>
          <w:shd w:val="clear" w:color="auto" w:fill="FFFFFF"/>
        </w:rPr>
        <w:t>Fourteenth</w:t>
      </w:r>
      <w:r w:rsidR="005E285F" w:rsidRPr="00082AED">
        <w:rPr>
          <w:color w:val="000000" w:themeColor="text1"/>
          <w:shd w:val="clear" w:color="auto" w:fill="FFFFFF"/>
        </w:rPr>
        <w:t xml:space="preserve"> </w:t>
      </w:r>
      <w:r w:rsidRPr="00082AED">
        <w:rPr>
          <w:color w:val="000000" w:themeColor="text1"/>
          <w:shd w:val="clear" w:color="auto" w:fill="FFFFFF"/>
        </w:rPr>
        <w:t>Amendments</w:t>
      </w:r>
      <w:r w:rsidRPr="00082AED">
        <w:rPr>
          <w:rStyle w:val="apple-converted-space"/>
          <w:color w:val="000000" w:themeColor="text1"/>
          <w:shd w:val="clear" w:color="auto" w:fill="FFFFFF"/>
        </w:rPr>
        <w:t> </w:t>
      </w:r>
      <w:r w:rsidRPr="00082AED">
        <w:rPr>
          <w:color w:val="000000" w:themeColor="text1"/>
          <w:shd w:val="clear" w:color="auto" w:fill="FFFFFF"/>
        </w:rPr>
        <w:t>prevent the State from compelling [the fathers] to cause their children to attend formal high school to age 16.”</w:t>
      </w:r>
      <w:r w:rsidRPr="00082AED">
        <w:rPr>
          <w:rStyle w:val="FootnoteReference"/>
          <w:color w:val="000000" w:themeColor="text1"/>
          <w:shd w:val="clear" w:color="auto" w:fill="FFFFFF"/>
        </w:rPr>
        <w:footnoteReference w:id="112"/>
      </w:r>
      <w:r w:rsidRPr="00082AED">
        <w:rPr>
          <w:color w:val="000000" w:themeColor="text1"/>
          <w:shd w:val="clear" w:color="auto" w:fill="FFFFFF"/>
        </w:rPr>
        <w:t xml:space="preserve"> </w:t>
      </w:r>
      <w:r w:rsidR="005E285F" w:rsidRPr="00082AED">
        <w:rPr>
          <w:color w:val="000000" w:themeColor="text1"/>
          <w:shd w:val="clear" w:color="auto" w:fill="FFFFFF"/>
        </w:rPr>
        <w:t xml:space="preserve"> </w:t>
      </w:r>
      <w:r w:rsidR="00332681" w:rsidRPr="00082AED">
        <w:rPr>
          <w:color w:val="000000" w:themeColor="text1"/>
          <w:shd w:val="clear" w:color="auto" w:fill="FFFFFF"/>
        </w:rPr>
        <w:t>In reaching this decision, the</w:t>
      </w:r>
      <w:r w:rsidRPr="00082AED">
        <w:rPr>
          <w:color w:val="000000" w:themeColor="text1"/>
          <w:shd w:val="clear" w:color="auto" w:fill="FFFFFF"/>
        </w:rPr>
        <w:t xml:space="preserve"> Court noted the need for careful balancing of state interests against the free exercise of religion clause of the First Amendment</w:t>
      </w:r>
      <w:r w:rsidR="00332681" w:rsidRPr="00082AED">
        <w:rPr>
          <w:color w:val="000000" w:themeColor="text1"/>
          <w:shd w:val="clear" w:color="auto" w:fill="FFFFFF"/>
        </w:rPr>
        <w:t xml:space="preserve">. </w:t>
      </w:r>
      <w:r w:rsidR="00332681" w:rsidRPr="00082AED">
        <w:rPr>
          <w:color w:val="000000" w:themeColor="text1"/>
          <w:shd w:val="clear" w:color="auto" w:fill="FFFFFF"/>
        </w:rPr>
        <w:lastRenderedPageBreak/>
        <w:t>Chief Justice Burger wrote:</w:t>
      </w:r>
      <w:r w:rsidRPr="00082AED">
        <w:rPr>
          <w:color w:val="000000" w:themeColor="text1"/>
          <w:shd w:val="clear" w:color="auto" w:fill="FFFFFF"/>
        </w:rPr>
        <w:t xml:space="preserve"> “</w:t>
      </w:r>
      <w:r w:rsidR="00332681" w:rsidRPr="00082AED">
        <w:rPr>
          <w:color w:val="000000" w:themeColor="text1"/>
          <w:shd w:val="clear" w:color="auto" w:fill="FFFFFF"/>
        </w:rPr>
        <w:t xml:space="preserve">. . . </w:t>
      </w:r>
      <w:r w:rsidRPr="00082AED">
        <w:rPr>
          <w:color w:val="000000" w:themeColor="text1"/>
          <w:shd w:val="clear" w:color="auto" w:fill="FFFFFF"/>
        </w:rPr>
        <w:t>courts must move with great circumspection in performing the sensitive and delicate task of weighing a State's legitimate social concern when faced with religious claims for exemption from generally applicable educational requirements.”</w:t>
      </w:r>
      <w:r w:rsidRPr="00082AED">
        <w:rPr>
          <w:rStyle w:val="FootnoteReference"/>
          <w:color w:val="000000" w:themeColor="text1"/>
          <w:shd w:val="clear" w:color="auto" w:fill="FFFFFF"/>
        </w:rPr>
        <w:footnoteReference w:id="113"/>
      </w:r>
      <w:r w:rsidRPr="00082AED">
        <w:rPr>
          <w:color w:val="000000" w:themeColor="text1"/>
          <w:shd w:val="clear" w:color="auto" w:fill="FFFFFF"/>
        </w:rPr>
        <w:t xml:space="preserve"> </w:t>
      </w:r>
    </w:p>
    <w:p w14:paraId="3F565172" w14:textId="2E0F9D36" w:rsidR="009A3F7D" w:rsidRPr="00082AED" w:rsidRDefault="00897D49" w:rsidP="00150C8D">
      <w:pPr>
        <w:spacing w:line="480" w:lineRule="auto"/>
        <w:ind w:firstLine="360"/>
        <w:rPr>
          <w:color w:val="000000" w:themeColor="text1"/>
          <w:shd w:val="clear" w:color="auto" w:fill="FFFFFF"/>
        </w:rPr>
      </w:pPr>
      <w:r w:rsidRPr="00082AED">
        <w:rPr>
          <w:color w:val="000000" w:themeColor="text1"/>
        </w:rPr>
        <w:t>Balancing</w:t>
      </w:r>
      <w:r w:rsidR="0093729D" w:rsidRPr="00082AED">
        <w:rPr>
          <w:color w:val="000000" w:themeColor="text1"/>
        </w:rPr>
        <w:t xml:space="preserve"> state </w:t>
      </w:r>
      <w:r w:rsidR="00332681" w:rsidRPr="00082AED">
        <w:rPr>
          <w:color w:val="000000" w:themeColor="text1"/>
        </w:rPr>
        <w:t>concern</w:t>
      </w:r>
      <w:r w:rsidR="0093729D" w:rsidRPr="00082AED">
        <w:rPr>
          <w:color w:val="000000" w:themeColor="text1"/>
        </w:rPr>
        <w:t xml:space="preserve"> with religious freedom, </w:t>
      </w:r>
      <w:r w:rsidR="00FC41C6" w:rsidRPr="00082AED">
        <w:rPr>
          <w:color w:val="000000" w:themeColor="text1"/>
        </w:rPr>
        <w:t>the Pennsylvania General Assembly enacted the Religious Freedom Protection Act</w:t>
      </w:r>
      <w:r w:rsidR="00F54277" w:rsidRPr="00082AED">
        <w:rPr>
          <w:color w:val="000000" w:themeColor="text1"/>
        </w:rPr>
        <w:t xml:space="preserve"> </w:t>
      </w:r>
      <w:r w:rsidR="00FC41C6" w:rsidRPr="00082AED">
        <w:rPr>
          <w:color w:val="000000" w:themeColor="text1"/>
        </w:rPr>
        <w:t>to protect “</w:t>
      </w:r>
      <w:r w:rsidR="00FC41C6" w:rsidRPr="00082AED">
        <w:rPr>
          <w:color w:val="000000" w:themeColor="text1"/>
          <w:shd w:val="clear" w:color="auto" w:fill="FFFFFF"/>
        </w:rPr>
        <w:t>the free exercise of religion; and prescrib[e] the conditions under which government may substantially burden a person’s free exercise of religion</w:t>
      </w:r>
      <w:r w:rsidR="00FC41C6" w:rsidRPr="00082AED">
        <w:rPr>
          <w:color w:val="000000" w:themeColor="text1"/>
        </w:rPr>
        <w:t>.</w:t>
      </w:r>
      <w:r w:rsidR="00FC41C6" w:rsidRPr="00082AED">
        <w:rPr>
          <w:rStyle w:val="FootnoteReference"/>
          <w:color w:val="000000" w:themeColor="text1"/>
        </w:rPr>
        <w:footnoteReference w:id="114"/>
      </w:r>
      <w:r w:rsidR="009A3F7D" w:rsidRPr="00082AED">
        <w:rPr>
          <w:color w:val="000000" w:themeColor="text1"/>
        </w:rPr>
        <w:t xml:space="preserve"> </w:t>
      </w:r>
      <w:r w:rsidR="005E285F" w:rsidRPr="00082AED">
        <w:rPr>
          <w:color w:val="000000" w:themeColor="text1"/>
        </w:rPr>
        <w:t xml:space="preserve"> </w:t>
      </w:r>
      <w:r w:rsidR="009A3F7D" w:rsidRPr="00082AED">
        <w:rPr>
          <w:color w:val="000000" w:themeColor="text1"/>
        </w:rPr>
        <w:t>Th</w:t>
      </w:r>
      <w:r w:rsidR="00E505ED" w:rsidRPr="00082AED">
        <w:rPr>
          <w:color w:val="000000" w:themeColor="text1"/>
        </w:rPr>
        <w:t>is</w:t>
      </w:r>
      <w:r w:rsidR="009A3F7D" w:rsidRPr="00082AED">
        <w:rPr>
          <w:color w:val="000000" w:themeColor="text1"/>
        </w:rPr>
        <w:t xml:space="preserve"> act state</w:t>
      </w:r>
      <w:r w:rsidR="00F54277" w:rsidRPr="00082AED">
        <w:rPr>
          <w:color w:val="000000" w:themeColor="text1"/>
        </w:rPr>
        <w:t>d</w:t>
      </w:r>
      <w:r w:rsidR="009A3F7D" w:rsidRPr="00082AED">
        <w:rPr>
          <w:color w:val="000000" w:themeColor="text1"/>
        </w:rPr>
        <w:t xml:space="preserve"> that “</w:t>
      </w:r>
      <w:r w:rsidR="009A3F7D" w:rsidRPr="00082AED">
        <w:rPr>
          <w:color w:val="000000" w:themeColor="text1"/>
          <w:shd w:val="clear" w:color="auto" w:fill="FFFFFF"/>
        </w:rPr>
        <w:t>neither State nor local government should substantially burden religious exercise without compelling justification.”</w:t>
      </w:r>
      <w:r w:rsidR="009A3F7D" w:rsidRPr="00082AED">
        <w:rPr>
          <w:rStyle w:val="FootnoteReference"/>
          <w:color w:val="000000" w:themeColor="text1"/>
          <w:shd w:val="clear" w:color="auto" w:fill="FFFFFF"/>
        </w:rPr>
        <w:footnoteReference w:id="115"/>
      </w:r>
      <w:r w:rsidR="00102A50" w:rsidRPr="00082AED">
        <w:rPr>
          <w:color w:val="000000" w:themeColor="text1"/>
          <w:shd w:val="clear" w:color="auto" w:fill="FFFFFF"/>
        </w:rPr>
        <w:t xml:space="preserve"> </w:t>
      </w:r>
      <w:r w:rsidR="005E285F" w:rsidRPr="00082AED">
        <w:rPr>
          <w:color w:val="000000" w:themeColor="text1"/>
          <w:shd w:val="clear" w:color="auto" w:fill="FFFFFF"/>
        </w:rPr>
        <w:t xml:space="preserve"> </w:t>
      </w:r>
      <w:r w:rsidR="00102A50" w:rsidRPr="00082AED">
        <w:rPr>
          <w:color w:val="000000" w:themeColor="text1"/>
          <w:shd w:val="clear" w:color="auto" w:fill="FFFFFF"/>
        </w:rPr>
        <w:t>It further stated,</w:t>
      </w:r>
    </w:p>
    <w:p w14:paraId="20F427CB" w14:textId="1B0AD08B" w:rsidR="009A3F7D" w:rsidRPr="00082AED" w:rsidRDefault="009A3F7D" w:rsidP="00784054">
      <w:pPr>
        <w:ind w:left="720" w:right="720"/>
        <w:jc w:val="both"/>
        <w:rPr>
          <w:color w:val="000000" w:themeColor="text1"/>
        </w:rPr>
      </w:pPr>
      <w:r w:rsidRPr="00082AED">
        <w:rPr>
          <w:color w:val="000000" w:themeColor="text1"/>
          <w:shd w:val="clear" w:color="auto" w:fill="FFFFFF"/>
        </w:rPr>
        <w:t>The General Assembly intends that all laws which it has heretofore enacted or will hereafter enact or which have been or will be adopted by political subdivisions and executive agencies acting pursuant to authority asserted to be conferred by statutes enacted by the General Assembly shall be construed so as to avoid the imposition of substantial burdens upon the free exercise of religion without compelling justification.</w:t>
      </w:r>
      <w:r w:rsidRPr="00082AED">
        <w:rPr>
          <w:rStyle w:val="FootnoteReference"/>
          <w:color w:val="000000" w:themeColor="text1"/>
          <w:shd w:val="clear" w:color="auto" w:fill="FFFFFF"/>
        </w:rPr>
        <w:footnoteReference w:id="116"/>
      </w:r>
    </w:p>
    <w:p w14:paraId="08EF2AEF" w14:textId="5A4EBC68" w:rsidR="009A3F7D" w:rsidRPr="00082AED" w:rsidRDefault="009A3F7D" w:rsidP="00150C8D">
      <w:pPr>
        <w:ind w:right="720"/>
        <w:rPr>
          <w:color w:val="000000" w:themeColor="text1"/>
        </w:rPr>
      </w:pPr>
    </w:p>
    <w:p w14:paraId="3CE59D95" w14:textId="1562C137" w:rsidR="0093729D" w:rsidRPr="00082AED" w:rsidRDefault="009A3F7D" w:rsidP="0093729D">
      <w:pPr>
        <w:pStyle w:val="NormalWeb"/>
        <w:spacing w:before="0" w:beforeAutospacing="0" w:after="0" w:afterAutospacing="0" w:line="480" w:lineRule="auto"/>
        <w:ind w:firstLine="360"/>
        <w:jc w:val="both"/>
        <w:rPr>
          <w:color w:val="000000" w:themeColor="text1"/>
        </w:rPr>
      </w:pPr>
      <w:r w:rsidRPr="00082AED">
        <w:rPr>
          <w:color w:val="000000" w:themeColor="text1"/>
        </w:rPr>
        <w:t>The Religious Freedom Protection Act of Pennsylvania applies to “</w:t>
      </w:r>
      <w:r w:rsidRPr="00082AED">
        <w:rPr>
          <w:color w:val="000000" w:themeColor="text1"/>
          <w:shd w:val="clear" w:color="auto" w:fill="FFFFFF"/>
        </w:rPr>
        <w:t>any State or local law or ordinance and the implementation of that law or ordinance, whether statutory or otherwise, and whether adopted or effective prior to or after the effective date of this act.</w:t>
      </w:r>
      <w:r w:rsidRPr="00082AED">
        <w:rPr>
          <w:rStyle w:val="apple-converted-space"/>
          <w:color w:val="000000" w:themeColor="text1"/>
          <w:shd w:val="clear" w:color="auto" w:fill="FFFFFF"/>
        </w:rPr>
        <w:t>”</w:t>
      </w:r>
      <w:r w:rsidRPr="00082AED">
        <w:rPr>
          <w:rStyle w:val="FootnoteReference"/>
          <w:color w:val="000000" w:themeColor="text1"/>
          <w:shd w:val="clear" w:color="auto" w:fill="FFFFFF"/>
        </w:rPr>
        <w:footnoteReference w:id="117"/>
      </w:r>
      <w:r w:rsidR="005E285F" w:rsidRPr="00082AED">
        <w:rPr>
          <w:rStyle w:val="apple-converted-space"/>
          <w:color w:val="000000" w:themeColor="text1"/>
          <w:shd w:val="clear" w:color="auto" w:fill="FFFFFF"/>
        </w:rPr>
        <w:t xml:space="preserve">  </w:t>
      </w:r>
      <w:r w:rsidRPr="00082AED">
        <w:rPr>
          <w:rStyle w:val="apple-converted-space"/>
          <w:color w:val="000000" w:themeColor="text1"/>
          <w:shd w:val="clear" w:color="auto" w:fill="FFFFFF"/>
        </w:rPr>
        <w:t>It provides that “</w:t>
      </w:r>
      <w:r w:rsidRPr="00082AED">
        <w:rPr>
          <w:color w:val="000000" w:themeColor="text1"/>
        </w:rPr>
        <w:t>Government may substantially burden a person’s exercise of religion only if the government demonstrates that application of the burden to the person: (1) is in furtherance of a compelling interest of the government; and (2) is the least restrictive means of furthering that compelling interest.”</w:t>
      </w:r>
      <w:r w:rsidRPr="00082AED">
        <w:rPr>
          <w:rStyle w:val="FootnoteReference"/>
          <w:color w:val="000000" w:themeColor="text1"/>
        </w:rPr>
        <w:footnoteReference w:id="118"/>
      </w:r>
    </w:p>
    <w:p w14:paraId="1CEC8B33" w14:textId="710DC48C" w:rsidR="00184D79" w:rsidRPr="00082AED" w:rsidRDefault="00F96DDE" w:rsidP="00184D79">
      <w:pPr>
        <w:pStyle w:val="NormalWeb"/>
        <w:spacing w:before="0" w:beforeAutospacing="0" w:after="0" w:afterAutospacing="0" w:line="480" w:lineRule="auto"/>
        <w:ind w:firstLine="360"/>
        <w:rPr>
          <w:color w:val="000000" w:themeColor="text1"/>
        </w:rPr>
      </w:pPr>
      <w:r w:rsidRPr="00082AED">
        <w:rPr>
          <w:color w:val="000000" w:themeColor="text1"/>
        </w:rPr>
        <w:t xml:space="preserve">In </w:t>
      </w:r>
      <w:r w:rsidR="009E53B0" w:rsidRPr="00082AED">
        <w:rPr>
          <w:i/>
          <w:color w:val="000000" w:themeColor="text1"/>
        </w:rPr>
        <w:t>Sugar Grove Twp. v. Byler</w:t>
      </w:r>
      <w:r w:rsidRPr="00082AED">
        <w:rPr>
          <w:color w:val="000000" w:themeColor="text1"/>
        </w:rPr>
        <w:t xml:space="preserve">, the </w:t>
      </w:r>
      <w:r w:rsidR="0093729D" w:rsidRPr="00082AED">
        <w:rPr>
          <w:color w:val="000000" w:themeColor="text1"/>
        </w:rPr>
        <w:t xml:space="preserve">Warren County </w:t>
      </w:r>
      <w:r w:rsidR="00FB3095" w:rsidRPr="00082AED">
        <w:rPr>
          <w:color w:val="000000" w:themeColor="text1"/>
        </w:rPr>
        <w:t>t</w:t>
      </w:r>
      <w:r w:rsidRPr="00082AED">
        <w:rPr>
          <w:color w:val="000000" w:themeColor="text1"/>
        </w:rPr>
        <w:t xml:space="preserve">rial </w:t>
      </w:r>
      <w:r w:rsidR="00FB3095" w:rsidRPr="00082AED">
        <w:rPr>
          <w:color w:val="000000" w:themeColor="text1"/>
        </w:rPr>
        <w:t>c</w:t>
      </w:r>
      <w:r w:rsidRPr="00082AED">
        <w:rPr>
          <w:color w:val="000000" w:themeColor="text1"/>
        </w:rPr>
        <w:t xml:space="preserve">ourt alluded to a compelling </w:t>
      </w:r>
      <w:r w:rsidR="008B1777" w:rsidRPr="00082AED">
        <w:rPr>
          <w:color w:val="000000" w:themeColor="text1"/>
        </w:rPr>
        <w:t xml:space="preserve">Township </w:t>
      </w:r>
      <w:r w:rsidRPr="00082AED">
        <w:rPr>
          <w:color w:val="000000" w:themeColor="text1"/>
        </w:rPr>
        <w:t xml:space="preserve">interest in </w:t>
      </w:r>
      <w:r w:rsidR="00840C8C" w:rsidRPr="00082AED">
        <w:rPr>
          <w:color w:val="000000" w:themeColor="text1"/>
        </w:rPr>
        <w:t xml:space="preserve">preventing disease and pollution that overrode Mrs. Byler’s religious </w:t>
      </w:r>
      <w:r w:rsidR="00840C8C" w:rsidRPr="00082AED">
        <w:rPr>
          <w:color w:val="000000" w:themeColor="text1"/>
        </w:rPr>
        <w:lastRenderedPageBreak/>
        <w:t>interests preventing her from complying with the Privy Ordinance</w:t>
      </w:r>
      <w:r w:rsidRPr="00082AED">
        <w:rPr>
          <w:color w:val="000000" w:themeColor="text1"/>
        </w:rPr>
        <w:t>.</w:t>
      </w:r>
      <w:r w:rsidRPr="00082AED">
        <w:rPr>
          <w:rStyle w:val="FootnoteReference"/>
          <w:color w:val="000000" w:themeColor="text1"/>
        </w:rPr>
        <w:footnoteReference w:id="119"/>
      </w:r>
      <w:r w:rsidRPr="00082AED">
        <w:rPr>
          <w:color w:val="000000" w:themeColor="text1"/>
        </w:rPr>
        <w:t xml:space="preserve"> </w:t>
      </w:r>
      <w:r w:rsidR="005E285F" w:rsidRPr="00082AED">
        <w:rPr>
          <w:color w:val="000000" w:themeColor="text1"/>
        </w:rPr>
        <w:t xml:space="preserve"> </w:t>
      </w:r>
      <w:r w:rsidRPr="00082AED">
        <w:rPr>
          <w:color w:val="000000" w:themeColor="text1"/>
        </w:rPr>
        <w:t>On appeal</w:t>
      </w:r>
      <w:r w:rsidR="00F54277" w:rsidRPr="00082AED">
        <w:rPr>
          <w:color w:val="000000" w:themeColor="text1"/>
        </w:rPr>
        <w:t>,</w:t>
      </w:r>
      <w:r w:rsidRPr="00082AED">
        <w:rPr>
          <w:color w:val="000000" w:themeColor="text1"/>
        </w:rPr>
        <w:t xml:space="preserve"> Mrs. Byler counte</w:t>
      </w:r>
      <w:r w:rsidR="00025CE5" w:rsidRPr="00082AED">
        <w:rPr>
          <w:color w:val="000000" w:themeColor="text1"/>
        </w:rPr>
        <w:t>re</w:t>
      </w:r>
      <w:r w:rsidRPr="00082AED">
        <w:rPr>
          <w:color w:val="000000" w:themeColor="text1"/>
        </w:rPr>
        <w:t xml:space="preserve">d by stating that sealed, self-contained Amish privies </w:t>
      </w:r>
      <w:r w:rsidR="00025CE5" w:rsidRPr="00082AED">
        <w:rPr>
          <w:color w:val="000000" w:themeColor="text1"/>
        </w:rPr>
        <w:t xml:space="preserve">in the Sugar Grove area </w:t>
      </w:r>
      <w:r w:rsidRPr="00082AED">
        <w:rPr>
          <w:color w:val="000000" w:themeColor="text1"/>
        </w:rPr>
        <w:t>have never malfunctioned or polluted the waters of their neighbors or the Commonwealth.</w:t>
      </w:r>
      <w:r w:rsidRPr="00082AED">
        <w:rPr>
          <w:rStyle w:val="FootnoteReference"/>
          <w:color w:val="000000" w:themeColor="text1"/>
        </w:rPr>
        <w:footnoteReference w:id="120"/>
      </w:r>
      <w:r w:rsidRPr="00082AED">
        <w:rPr>
          <w:color w:val="000000" w:themeColor="text1"/>
        </w:rPr>
        <w:t xml:space="preserve"> </w:t>
      </w:r>
      <w:r w:rsidR="005E285F" w:rsidRPr="00082AED">
        <w:rPr>
          <w:color w:val="000000" w:themeColor="text1"/>
        </w:rPr>
        <w:t xml:space="preserve"> </w:t>
      </w:r>
      <w:r w:rsidRPr="00082AED">
        <w:rPr>
          <w:color w:val="000000" w:themeColor="text1"/>
        </w:rPr>
        <w:t xml:space="preserve">She argued that being forced to hook up to the public sewage system and install an electric grinder pump would be a substantial burden </w:t>
      </w:r>
      <w:r w:rsidR="008B1777" w:rsidRPr="00082AED">
        <w:rPr>
          <w:color w:val="000000" w:themeColor="text1"/>
        </w:rPr>
        <w:t>on</w:t>
      </w:r>
      <w:r w:rsidRPr="00082AED">
        <w:rPr>
          <w:color w:val="000000" w:themeColor="text1"/>
        </w:rPr>
        <w:t xml:space="preserve"> her freedom to practice her Amish religious beliefs.</w:t>
      </w:r>
      <w:r w:rsidRPr="00082AED">
        <w:rPr>
          <w:rStyle w:val="FootnoteReference"/>
          <w:color w:val="000000" w:themeColor="text1"/>
        </w:rPr>
        <w:footnoteReference w:id="121"/>
      </w:r>
      <w:r w:rsidR="00184D79" w:rsidRPr="00082AED">
        <w:rPr>
          <w:color w:val="000000" w:themeColor="text1"/>
        </w:rPr>
        <w:t xml:space="preserve"> </w:t>
      </w:r>
    </w:p>
    <w:p w14:paraId="66C9B7F6" w14:textId="6F8A57F3" w:rsidR="00AF4D69" w:rsidRPr="00082AED" w:rsidRDefault="00AF4D69" w:rsidP="00AF4D69">
      <w:pPr>
        <w:pStyle w:val="NormalWeb"/>
        <w:spacing w:before="0" w:beforeAutospacing="0" w:after="0" w:afterAutospacing="0" w:line="480" w:lineRule="auto"/>
        <w:ind w:firstLine="360"/>
        <w:rPr>
          <w:color w:val="000000" w:themeColor="text1"/>
        </w:rPr>
      </w:pPr>
      <w:r w:rsidRPr="00082AED">
        <w:rPr>
          <w:color w:val="000000" w:themeColor="text1"/>
        </w:rPr>
        <w:t xml:space="preserve">Using </w:t>
      </w:r>
      <w:r w:rsidR="00102A50" w:rsidRPr="00082AED">
        <w:rPr>
          <w:color w:val="000000" w:themeColor="text1"/>
        </w:rPr>
        <w:t>Pennsylvania’s</w:t>
      </w:r>
      <w:r w:rsidRPr="00082AED">
        <w:rPr>
          <w:color w:val="000000" w:themeColor="text1"/>
        </w:rPr>
        <w:t xml:space="preserve"> Religious Freedom Protection Act as a guide,</w:t>
      </w:r>
      <w:r w:rsidR="00F54277" w:rsidRPr="00082AED">
        <w:rPr>
          <w:color w:val="000000" w:themeColor="text1"/>
        </w:rPr>
        <w:t xml:space="preserve"> the</w:t>
      </w:r>
      <w:r w:rsidRPr="00082AED">
        <w:rPr>
          <w:color w:val="000000" w:themeColor="text1"/>
        </w:rPr>
        <w:t xml:space="preserve"> Commonwealth Court revisited the trial court’s ruling that the Bylers’ religious freedom was outweighed by the purpose of protecting the health, safety, and welfare of the public in the Sewage Facilities Act.</w:t>
      </w:r>
      <w:r w:rsidR="00332681" w:rsidRPr="00082AED">
        <w:rPr>
          <w:rStyle w:val="FootnoteReference"/>
          <w:color w:val="000000" w:themeColor="text1"/>
        </w:rPr>
        <w:footnoteReference w:id="122"/>
      </w:r>
      <w:r w:rsidR="005E285F" w:rsidRPr="00082AED">
        <w:rPr>
          <w:color w:val="000000" w:themeColor="text1"/>
        </w:rPr>
        <w:t xml:space="preserve">  </w:t>
      </w:r>
      <w:r w:rsidR="00332681" w:rsidRPr="00082AED">
        <w:rPr>
          <w:color w:val="000000" w:themeColor="text1"/>
        </w:rPr>
        <w:t>It</w:t>
      </w:r>
      <w:r w:rsidRPr="00082AED">
        <w:rPr>
          <w:color w:val="000000" w:themeColor="text1"/>
        </w:rPr>
        <w:t xml:space="preserve"> found that the trial court </w:t>
      </w:r>
      <w:r w:rsidR="00332681" w:rsidRPr="00082AED">
        <w:rPr>
          <w:color w:val="000000" w:themeColor="text1"/>
        </w:rPr>
        <w:t>needed to review</w:t>
      </w:r>
      <w:r w:rsidRPr="00082AED">
        <w:rPr>
          <w:color w:val="000000" w:themeColor="text1"/>
        </w:rPr>
        <w:t xml:space="preserve"> the environmental concerns with </w:t>
      </w:r>
      <w:r w:rsidR="00332681" w:rsidRPr="00082AED">
        <w:rPr>
          <w:color w:val="000000" w:themeColor="text1"/>
        </w:rPr>
        <w:t xml:space="preserve">the </w:t>
      </w:r>
      <w:r w:rsidRPr="00082AED">
        <w:rPr>
          <w:color w:val="000000" w:themeColor="text1"/>
        </w:rPr>
        <w:t xml:space="preserve">prohibitions </w:t>
      </w:r>
      <w:r w:rsidR="00332681" w:rsidRPr="00082AED">
        <w:rPr>
          <w:color w:val="000000" w:themeColor="text1"/>
        </w:rPr>
        <w:t xml:space="preserve">against legislation placing substantial burdens on the free exercise of religion </w:t>
      </w:r>
      <w:r w:rsidRPr="00082AED">
        <w:rPr>
          <w:color w:val="000000" w:themeColor="text1"/>
        </w:rPr>
        <w:t>in Pennsylvania’s Religious Freedom Protection Act.</w:t>
      </w:r>
      <w:r w:rsidR="00332681" w:rsidRPr="00082AED">
        <w:rPr>
          <w:rStyle w:val="FootnoteReference"/>
          <w:color w:val="000000" w:themeColor="text1"/>
        </w:rPr>
        <w:footnoteReference w:id="123"/>
      </w:r>
      <w:r w:rsidRPr="00082AED">
        <w:rPr>
          <w:color w:val="000000" w:themeColor="text1"/>
        </w:rPr>
        <w:t xml:space="preserve"> </w:t>
      </w:r>
      <w:r w:rsidR="005E285F" w:rsidRPr="00082AED">
        <w:rPr>
          <w:color w:val="000000" w:themeColor="text1"/>
        </w:rPr>
        <w:t xml:space="preserve"> </w:t>
      </w:r>
      <w:r w:rsidRPr="00082AED">
        <w:rPr>
          <w:color w:val="000000" w:themeColor="text1"/>
        </w:rPr>
        <w:t xml:space="preserve">This </w:t>
      </w:r>
      <w:r w:rsidR="00F54277" w:rsidRPr="00082AED">
        <w:rPr>
          <w:color w:val="000000" w:themeColor="text1"/>
        </w:rPr>
        <w:t>issue</w:t>
      </w:r>
      <w:r w:rsidRPr="00082AED">
        <w:rPr>
          <w:color w:val="000000" w:themeColor="text1"/>
        </w:rPr>
        <w:t xml:space="preserve"> was remanded back to </w:t>
      </w:r>
      <w:r w:rsidR="00907EF9" w:rsidRPr="00082AED">
        <w:rPr>
          <w:color w:val="000000" w:themeColor="text1"/>
        </w:rPr>
        <w:t xml:space="preserve">the </w:t>
      </w:r>
      <w:r w:rsidRPr="00082AED">
        <w:rPr>
          <w:color w:val="000000" w:themeColor="text1"/>
        </w:rPr>
        <w:t xml:space="preserve">Warren County </w:t>
      </w:r>
      <w:r w:rsidR="00907EF9" w:rsidRPr="00082AED">
        <w:rPr>
          <w:color w:val="000000" w:themeColor="text1"/>
        </w:rPr>
        <w:t xml:space="preserve">court </w:t>
      </w:r>
      <w:r w:rsidRPr="00082AED">
        <w:rPr>
          <w:color w:val="000000" w:themeColor="text1"/>
        </w:rPr>
        <w:t>for further proceedings consistent with the Commonwealth Court’s opinion.</w:t>
      </w:r>
      <w:r w:rsidR="00332681" w:rsidRPr="00082AED">
        <w:rPr>
          <w:rStyle w:val="FootnoteReference"/>
          <w:color w:val="000000" w:themeColor="text1"/>
        </w:rPr>
        <w:footnoteReference w:id="124"/>
      </w:r>
    </w:p>
    <w:p w14:paraId="5107B4FE" w14:textId="7015F586" w:rsidR="0053777A" w:rsidRPr="00082AED" w:rsidRDefault="0053777A" w:rsidP="0053777A">
      <w:pPr>
        <w:pStyle w:val="NormalWeb"/>
        <w:spacing w:before="0" w:beforeAutospacing="0" w:after="0" w:afterAutospacing="0" w:line="480" w:lineRule="auto"/>
        <w:ind w:firstLine="360"/>
        <w:rPr>
          <w:color w:val="000000" w:themeColor="text1"/>
        </w:rPr>
      </w:pPr>
      <w:r w:rsidRPr="00082AED">
        <w:rPr>
          <w:color w:val="000000" w:themeColor="text1"/>
        </w:rPr>
        <w:t>As of this writing, Warren County’s Prothonotary indicates that no additional proceedings have been scheduled to re-visit the issue of balancing Mrs. Byler’s religious freedom with Sugar Grove Township’s public environmental concerns.</w:t>
      </w:r>
      <w:r w:rsidRPr="00082AED">
        <w:rPr>
          <w:rStyle w:val="FootnoteReference"/>
          <w:color w:val="000000" w:themeColor="text1"/>
        </w:rPr>
        <w:footnoteReference w:id="125"/>
      </w:r>
      <w:r w:rsidRPr="00082AED">
        <w:rPr>
          <w:color w:val="000000" w:themeColor="text1"/>
        </w:rPr>
        <w:t xml:space="preserve"> </w:t>
      </w:r>
      <w:r w:rsidR="005E285F" w:rsidRPr="00082AED">
        <w:rPr>
          <w:color w:val="000000" w:themeColor="text1"/>
        </w:rPr>
        <w:t xml:space="preserve"> </w:t>
      </w:r>
      <w:r w:rsidRPr="00082AED">
        <w:rPr>
          <w:color w:val="000000" w:themeColor="text1"/>
        </w:rPr>
        <w:t>It remains to be seen if these trial court proceedings will materialize as the Commonwealth Court directed, if another solution is reached, or if the Byler family will leave their home in Sugar Grove Township and migrate to another Amish community where they feel less pressure on their religion and lifestyle.</w:t>
      </w:r>
      <w:commentRangeStart w:id="0"/>
      <w:commentRangeEnd w:id="0"/>
    </w:p>
    <w:p w14:paraId="27CE8C13" w14:textId="77777777" w:rsidR="00723757" w:rsidRPr="00082AED" w:rsidRDefault="00723757">
      <w:pPr>
        <w:rPr>
          <w:b/>
          <w:color w:val="000000" w:themeColor="text1"/>
        </w:rPr>
      </w:pPr>
      <w:r w:rsidRPr="00082AED">
        <w:rPr>
          <w:b/>
          <w:color w:val="000000" w:themeColor="text1"/>
        </w:rPr>
        <w:br w:type="page"/>
      </w:r>
    </w:p>
    <w:p w14:paraId="6BA87797" w14:textId="55E40632" w:rsidR="00655F19" w:rsidRPr="00082AED" w:rsidRDefault="00655F19" w:rsidP="00150C8D">
      <w:pPr>
        <w:pStyle w:val="ListParagraph"/>
        <w:numPr>
          <w:ilvl w:val="0"/>
          <w:numId w:val="4"/>
        </w:numPr>
        <w:spacing w:line="480" w:lineRule="auto"/>
        <w:ind w:left="0"/>
        <w:jc w:val="center"/>
        <w:rPr>
          <w:b/>
          <w:color w:val="000000" w:themeColor="text1"/>
        </w:rPr>
      </w:pPr>
      <w:r w:rsidRPr="00082AED">
        <w:rPr>
          <w:b/>
          <w:color w:val="000000" w:themeColor="text1"/>
        </w:rPr>
        <w:lastRenderedPageBreak/>
        <w:t>Analysis</w:t>
      </w:r>
    </w:p>
    <w:p w14:paraId="4BF916CA" w14:textId="56083A57" w:rsidR="00802434" w:rsidRDefault="0011149F" w:rsidP="00150C8D">
      <w:pPr>
        <w:pStyle w:val="NormalWeb"/>
        <w:spacing w:before="0" w:beforeAutospacing="0" w:after="0" w:afterAutospacing="0" w:line="480" w:lineRule="auto"/>
        <w:ind w:firstLine="360"/>
        <w:rPr>
          <w:color w:val="000000" w:themeColor="text1"/>
        </w:rPr>
      </w:pPr>
      <w:r w:rsidRPr="00082AED">
        <w:rPr>
          <w:i/>
          <w:color w:val="000000" w:themeColor="text1"/>
        </w:rPr>
        <w:t>Sugar Grove Twp. v. Byler</w:t>
      </w:r>
      <w:r w:rsidR="00AD157A" w:rsidRPr="00082AED">
        <w:rPr>
          <w:color w:val="000000" w:themeColor="text1"/>
        </w:rPr>
        <w:t xml:space="preserve"> </w:t>
      </w:r>
      <w:r w:rsidR="00E07729">
        <w:rPr>
          <w:color w:val="000000" w:themeColor="text1"/>
        </w:rPr>
        <w:t>was</w:t>
      </w:r>
      <w:r w:rsidR="000E667E" w:rsidRPr="00082AED">
        <w:rPr>
          <w:color w:val="000000" w:themeColor="text1"/>
        </w:rPr>
        <w:t xml:space="preserve"> based on </w:t>
      </w:r>
      <w:r w:rsidR="0008415E" w:rsidRPr="00082AED">
        <w:rPr>
          <w:color w:val="000000" w:themeColor="text1"/>
        </w:rPr>
        <w:t xml:space="preserve">a </w:t>
      </w:r>
      <w:r w:rsidR="00802434" w:rsidRPr="00082AED">
        <w:rPr>
          <w:color w:val="000000" w:themeColor="text1"/>
        </w:rPr>
        <w:t xml:space="preserve">conflict </w:t>
      </w:r>
      <w:r w:rsidR="00797522" w:rsidRPr="00082AED">
        <w:rPr>
          <w:color w:val="000000" w:themeColor="text1"/>
        </w:rPr>
        <w:t>between</w:t>
      </w:r>
      <w:r w:rsidR="00802434" w:rsidRPr="00082AED">
        <w:rPr>
          <w:color w:val="000000" w:themeColor="text1"/>
        </w:rPr>
        <w:t xml:space="preserve"> </w:t>
      </w:r>
      <w:r w:rsidR="00797522" w:rsidRPr="00082AED">
        <w:rPr>
          <w:color w:val="000000" w:themeColor="text1"/>
        </w:rPr>
        <w:t xml:space="preserve">several </w:t>
      </w:r>
      <w:r w:rsidR="00F86371">
        <w:rPr>
          <w:color w:val="000000" w:themeColor="text1"/>
        </w:rPr>
        <w:t>human rights</w:t>
      </w:r>
      <w:r w:rsidR="00802434" w:rsidRPr="00082AED">
        <w:rPr>
          <w:color w:val="000000" w:themeColor="text1"/>
        </w:rPr>
        <w:t xml:space="preserve"> </w:t>
      </w:r>
      <w:r w:rsidR="00B37127" w:rsidRPr="00082AED">
        <w:rPr>
          <w:color w:val="000000" w:themeColor="text1"/>
        </w:rPr>
        <w:t xml:space="preserve">that have long been part of </w:t>
      </w:r>
      <w:r w:rsidRPr="00082AED">
        <w:rPr>
          <w:color w:val="000000" w:themeColor="text1"/>
        </w:rPr>
        <w:t>Pennsylvania</w:t>
      </w:r>
      <w:r w:rsidR="00802434" w:rsidRPr="00082AED">
        <w:rPr>
          <w:color w:val="000000" w:themeColor="text1"/>
        </w:rPr>
        <w:t>’s core values</w:t>
      </w:r>
      <w:r w:rsidRPr="00082AED">
        <w:rPr>
          <w:color w:val="000000" w:themeColor="text1"/>
        </w:rPr>
        <w:t>.</w:t>
      </w:r>
      <w:r w:rsidR="007577B1" w:rsidRPr="00082AED">
        <w:rPr>
          <w:color w:val="000000" w:themeColor="text1"/>
        </w:rPr>
        <w:t xml:space="preserve">  </w:t>
      </w:r>
      <w:r w:rsidR="00802434" w:rsidRPr="00082AED">
        <w:rPr>
          <w:color w:val="000000" w:themeColor="text1"/>
        </w:rPr>
        <w:t>In this case</w:t>
      </w:r>
      <w:r w:rsidR="007E62E7" w:rsidRPr="00082AED">
        <w:rPr>
          <w:color w:val="000000" w:themeColor="text1"/>
        </w:rPr>
        <w:t>,</w:t>
      </w:r>
      <w:r w:rsidR="000E667E" w:rsidRPr="00082AED">
        <w:rPr>
          <w:color w:val="000000" w:themeColor="text1"/>
        </w:rPr>
        <w:t xml:space="preserve"> the</w:t>
      </w:r>
      <w:r w:rsidR="00802434" w:rsidRPr="00082AED">
        <w:rPr>
          <w:color w:val="000000" w:themeColor="text1"/>
        </w:rPr>
        <w:t xml:space="preserve"> </w:t>
      </w:r>
      <w:r w:rsidR="000E667E" w:rsidRPr="00082AED">
        <w:rPr>
          <w:color w:val="000000" w:themeColor="text1"/>
        </w:rPr>
        <w:t>C</w:t>
      </w:r>
      <w:r w:rsidR="00802434" w:rsidRPr="00082AED">
        <w:rPr>
          <w:color w:val="000000" w:themeColor="text1"/>
        </w:rPr>
        <w:t>ourt</w:t>
      </w:r>
      <w:r w:rsidR="00B37127" w:rsidRPr="00082AED">
        <w:rPr>
          <w:color w:val="000000" w:themeColor="text1"/>
        </w:rPr>
        <w:t xml:space="preserve"> w</w:t>
      </w:r>
      <w:r w:rsidR="000E667E" w:rsidRPr="00082AED">
        <w:rPr>
          <w:color w:val="000000" w:themeColor="text1"/>
        </w:rPr>
        <w:t>as</w:t>
      </w:r>
      <w:r w:rsidR="00B37127" w:rsidRPr="00082AED">
        <w:rPr>
          <w:color w:val="000000" w:themeColor="text1"/>
        </w:rPr>
        <w:t xml:space="preserve"> required to balance the </w:t>
      </w:r>
      <w:r w:rsidR="00F86371">
        <w:rPr>
          <w:color w:val="000000" w:themeColor="text1"/>
        </w:rPr>
        <w:t>right to a clean</w:t>
      </w:r>
      <w:r w:rsidR="00802434" w:rsidRPr="00082AED">
        <w:rPr>
          <w:color w:val="000000" w:themeColor="text1"/>
        </w:rPr>
        <w:t xml:space="preserve"> </w:t>
      </w:r>
      <w:r w:rsidR="00B37127" w:rsidRPr="00082AED">
        <w:rPr>
          <w:color w:val="000000" w:themeColor="text1"/>
        </w:rPr>
        <w:t xml:space="preserve">environment </w:t>
      </w:r>
      <w:r w:rsidR="00F86371">
        <w:rPr>
          <w:color w:val="000000" w:themeColor="text1"/>
        </w:rPr>
        <w:t xml:space="preserve">shared by all citizens of the Commonwealth </w:t>
      </w:r>
      <w:r w:rsidR="00B37127" w:rsidRPr="00082AED">
        <w:rPr>
          <w:color w:val="000000" w:themeColor="text1"/>
        </w:rPr>
        <w:t xml:space="preserve">with </w:t>
      </w:r>
      <w:r w:rsidR="00DD4114">
        <w:rPr>
          <w:color w:val="000000" w:themeColor="text1"/>
        </w:rPr>
        <w:t>the individual</w:t>
      </w:r>
      <w:r w:rsidR="007E62E7" w:rsidRPr="00082AED">
        <w:rPr>
          <w:color w:val="000000" w:themeColor="text1"/>
        </w:rPr>
        <w:t xml:space="preserve"> </w:t>
      </w:r>
      <w:r w:rsidR="00F86371">
        <w:rPr>
          <w:color w:val="000000" w:themeColor="text1"/>
        </w:rPr>
        <w:t>right</w:t>
      </w:r>
      <w:r w:rsidR="00802434" w:rsidRPr="00082AED">
        <w:rPr>
          <w:color w:val="000000" w:themeColor="text1"/>
        </w:rPr>
        <w:t xml:space="preserve"> </w:t>
      </w:r>
      <w:r w:rsidR="00F86371">
        <w:rPr>
          <w:color w:val="000000" w:themeColor="text1"/>
        </w:rPr>
        <w:t>to</w:t>
      </w:r>
      <w:r w:rsidR="00802434" w:rsidRPr="00082AED">
        <w:rPr>
          <w:color w:val="000000" w:themeColor="text1"/>
        </w:rPr>
        <w:t xml:space="preserve"> </w:t>
      </w:r>
      <w:r w:rsidR="00B37127" w:rsidRPr="00082AED">
        <w:rPr>
          <w:color w:val="000000" w:themeColor="text1"/>
        </w:rPr>
        <w:t xml:space="preserve">religious freedom </w:t>
      </w:r>
      <w:r w:rsidR="00802434" w:rsidRPr="00082AED">
        <w:rPr>
          <w:color w:val="000000" w:themeColor="text1"/>
        </w:rPr>
        <w:t xml:space="preserve">and personal liberty </w:t>
      </w:r>
      <w:r w:rsidR="007E62E7" w:rsidRPr="00082AED">
        <w:rPr>
          <w:color w:val="000000" w:themeColor="text1"/>
        </w:rPr>
        <w:t>that date</w:t>
      </w:r>
      <w:r w:rsidR="00F86371">
        <w:rPr>
          <w:color w:val="000000" w:themeColor="text1"/>
        </w:rPr>
        <w:t>s</w:t>
      </w:r>
      <w:r w:rsidR="00B37127" w:rsidRPr="00082AED">
        <w:rPr>
          <w:color w:val="000000" w:themeColor="text1"/>
        </w:rPr>
        <w:t xml:space="preserve"> back to William Penn and the founding of his “holy experiment” </w:t>
      </w:r>
      <w:r w:rsidR="001E7B66" w:rsidRPr="00082AED">
        <w:rPr>
          <w:color w:val="000000" w:themeColor="text1"/>
        </w:rPr>
        <w:t xml:space="preserve">in </w:t>
      </w:r>
      <w:r w:rsidR="00862966" w:rsidRPr="00082AED">
        <w:rPr>
          <w:color w:val="000000" w:themeColor="text1"/>
        </w:rPr>
        <w:t>his</w:t>
      </w:r>
      <w:r w:rsidR="001E7B66" w:rsidRPr="00082AED">
        <w:rPr>
          <w:color w:val="000000" w:themeColor="text1"/>
        </w:rPr>
        <w:t xml:space="preserve"> </w:t>
      </w:r>
      <w:r w:rsidR="00802434" w:rsidRPr="00082AED">
        <w:rPr>
          <w:color w:val="000000" w:themeColor="text1"/>
        </w:rPr>
        <w:t>Pennsylvania C</w:t>
      </w:r>
      <w:r w:rsidR="00B37127" w:rsidRPr="00082AED">
        <w:rPr>
          <w:color w:val="000000" w:themeColor="text1"/>
        </w:rPr>
        <w:t>olony</w:t>
      </w:r>
      <w:r w:rsidR="00802434" w:rsidRPr="00082AED">
        <w:rPr>
          <w:color w:val="000000" w:themeColor="text1"/>
        </w:rPr>
        <w:t xml:space="preserve"> </w:t>
      </w:r>
      <w:r w:rsidR="001E7B66" w:rsidRPr="00082AED">
        <w:rPr>
          <w:color w:val="000000" w:themeColor="text1"/>
        </w:rPr>
        <w:t>of</w:t>
      </w:r>
      <w:r w:rsidR="00B37127" w:rsidRPr="00082AED">
        <w:rPr>
          <w:color w:val="000000" w:themeColor="text1"/>
        </w:rPr>
        <w:t xml:space="preserve"> the seventeenth century.</w:t>
      </w:r>
      <w:r w:rsidR="00390182" w:rsidRPr="00082AED">
        <w:rPr>
          <w:rStyle w:val="FootnoteReference"/>
          <w:color w:val="000000" w:themeColor="text1"/>
        </w:rPr>
        <w:footnoteReference w:id="126"/>
      </w:r>
      <w:r w:rsidR="007577B1" w:rsidRPr="00082AED">
        <w:rPr>
          <w:color w:val="000000" w:themeColor="text1"/>
        </w:rPr>
        <w:t xml:space="preserve">  </w:t>
      </w:r>
      <w:r w:rsidR="00802434" w:rsidRPr="00082AED">
        <w:rPr>
          <w:color w:val="000000" w:themeColor="text1"/>
        </w:rPr>
        <w:t>Th</w:t>
      </w:r>
      <w:r w:rsidR="00D113A1" w:rsidRPr="00082AED">
        <w:rPr>
          <w:color w:val="000000" w:themeColor="text1"/>
        </w:rPr>
        <w:t>e</w:t>
      </w:r>
      <w:r w:rsidR="00802434" w:rsidRPr="00082AED">
        <w:rPr>
          <w:color w:val="000000" w:themeColor="text1"/>
        </w:rPr>
        <w:t xml:space="preserve"> mixed decision of</w:t>
      </w:r>
      <w:r w:rsidR="00C6591A" w:rsidRPr="00082AED">
        <w:rPr>
          <w:color w:val="000000" w:themeColor="text1"/>
        </w:rPr>
        <w:t xml:space="preserve"> the</w:t>
      </w:r>
      <w:r w:rsidR="00802434" w:rsidRPr="00082AED">
        <w:rPr>
          <w:color w:val="000000" w:themeColor="text1"/>
        </w:rPr>
        <w:t xml:space="preserve"> Commonwealth Court showed how difficult it is for courts to weigh these issues, especially in our</w:t>
      </w:r>
      <w:r w:rsidR="007E62E7" w:rsidRPr="00082AED">
        <w:rPr>
          <w:color w:val="000000" w:themeColor="text1"/>
        </w:rPr>
        <w:t xml:space="preserve"> current</w:t>
      </w:r>
      <w:r w:rsidR="00802434" w:rsidRPr="00082AED">
        <w:rPr>
          <w:color w:val="000000" w:themeColor="text1"/>
        </w:rPr>
        <w:t xml:space="preserve"> era when it </w:t>
      </w:r>
      <w:r w:rsidR="00816992" w:rsidRPr="00082AED">
        <w:rPr>
          <w:color w:val="000000" w:themeColor="text1"/>
        </w:rPr>
        <w:t xml:space="preserve">sometimes </w:t>
      </w:r>
      <w:r w:rsidR="00802434" w:rsidRPr="00082AED">
        <w:rPr>
          <w:color w:val="000000" w:themeColor="text1"/>
        </w:rPr>
        <w:t>seems that people and interests are becoming more competitive by the day.</w:t>
      </w:r>
    </w:p>
    <w:p w14:paraId="0B42C33D" w14:textId="63E8BEC9" w:rsidR="00C9510E" w:rsidRPr="00082AED" w:rsidRDefault="00C9510E" w:rsidP="00C9510E">
      <w:pPr>
        <w:pStyle w:val="NormalWeb"/>
        <w:spacing w:before="0" w:beforeAutospacing="0" w:after="0" w:afterAutospacing="0" w:line="480" w:lineRule="auto"/>
        <w:ind w:firstLine="360"/>
        <w:rPr>
          <w:color w:val="000000" w:themeColor="text1"/>
        </w:rPr>
      </w:pPr>
      <w:r w:rsidRPr="00082AED">
        <w:rPr>
          <w:color w:val="000000" w:themeColor="text1"/>
        </w:rPr>
        <w:t xml:space="preserve">The “Declaration of Rights” that is Article I of the Constitution of Pennsylvania is strong in its protection of the human rights it enumerates. </w:t>
      </w:r>
      <w:r>
        <w:rPr>
          <w:color w:val="000000" w:themeColor="text1"/>
        </w:rPr>
        <w:t xml:space="preserve"> </w:t>
      </w:r>
      <w:r w:rsidRPr="00082AED">
        <w:rPr>
          <w:color w:val="000000" w:themeColor="text1"/>
        </w:rPr>
        <w:t xml:space="preserve">Section 25 guarantees that </w:t>
      </w:r>
      <w:r w:rsidRPr="00AE5D89">
        <w:rPr>
          <w:color w:val="000000" w:themeColor="text1"/>
        </w:rPr>
        <w:t>“</w:t>
      </w:r>
      <w:r w:rsidRPr="00AE5D89">
        <w:rPr>
          <w:iCs/>
          <w:color w:val="000000" w:themeColor="text1"/>
        </w:rPr>
        <w:t xml:space="preserve">everything in this article is excepted out of the general powers of government </w:t>
      </w:r>
      <w:r w:rsidRPr="00AE5D89">
        <w:rPr>
          <w:i/>
          <w:color w:val="000000" w:themeColor="text1"/>
        </w:rPr>
        <w:t>and shall forever remain inviolate.</w:t>
      </w:r>
      <w:r w:rsidRPr="000B2069">
        <w:rPr>
          <w:i/>
          <w:color w:val="000000" w:themeColor="text1"/>
        </w:rPr>
        <w:t>”</w:t>
      </w:r>
      <w:r w:rsidRPr="00082AED">
        <w:rPr>
          <w:rStyle w:val="FootnoteReference"/>
          <w:color w:val="000000" w:themeColor="text1"/>
        </w:rPr>
        <w:footnoteReference w:id="127"/>
      </w:r>
    </w:p>
    <w:p w14:paraId="5523467F" w14:textId="289F4184" w:rsidR="00C9510E" w:rsidRPr="00082AED" w:rsidRDefault="00C9510E" w:rsidP="00C9510E">
      <w:pPr>
        <w:spacing w:line="480" w:lineRule="auto"/>
        <w:ind w:firstLine="360"/>
        <w:rPr>
          <w:color w:val="000000" w:themeColor="text1"/>
        </w:rPr>
      </w:pPr>
      <w:r w:rsidRPr="00082AED">
        <w:rPr>
          <w:color w:val="000000" w:themeColor="text1"/>
        </w:rPr>
        <w:t>In a perfect world, Pennsylvanians would find that all the rights in Article I of their state’s Constitution would work in harmony to improve the lives of everyone in the Commonwealth.</w:t>
      </w:r>
      <w:r>
        <w:rPr>
          <w:color w:val="000000" w:themeColor="text1"/>
        </w:rPr>
        <w:t xml:space="preserve">  </w:t>
      </w:r>
      <w:r w:rsidRPr="00082AED">
        <w:rPr>
          <w:color w:val="000000" w:themeColor="text1"/>
        </w:rPr>
        <w:t xml:space="preserve">In reality, tensions often </w:t>
      </w:r>
      <w:r>
        <w:rPr>
          <w:color w:val="000000" w:themeColor="text1"/>
        </w:rPr>
        <w:t>flare</w:t>
      </w:r>
      <w:r w:rsidRPr="00082AED">
        <w:rPr>
          <w:color w:val="000000" w:themeColor="text1"/>
        </w:rPr>
        <w:t xml:space="preserve"> between these protected rights as people assert them.</w:t>
      </w:r>
      <w:r>
        <w:rPr>
          <w:color w:val="000000" w:themeColor="text1"/>
        </w:rPr>
        <w:t xml:space="preserve">  </w:t>
      </w:r>
      <w:r w:rsidRPr="00082AED">
        <w:rPr>
          <w:color w:val="000000" w:themeColor="text1"/>
        </w:rPr>
        <w:t>When there is</w:t>
      </w:r>
      <w:r w:rsidR="000B2069">
        <w:rPr>
          <w:color w:val="000000" w:themeColor="text1"/>
        </w:rPr>
        <w:t xml:space="preserve"> </w:t>
      </w:r>
      <w:r w:rsidRPr="00082AED">
        <w:rPr>
          <w:color w:val="000000" w:themeColor="text1"/>
        </w:rPr>
        <w:t xml:space="preserve">need to settle </w:t>
      </w:r>
      <w:r w:rsidR="000B2069">
        <w:rPr>
          <w:color w:val="000000" w:themeColor="text1"/>
        </w:rPr>
        <w:t xml:space="preserve">a </w:t>
      </w:r>
      <w:r w:rsidRPr="00082AED">
        <w:rPr>
          <w:color w:val="000000" w:themeColor="text1"/>
        </w:rPr>
        <w:t>conflict between competing rights, as there was in this case, the courts of the Commonwealth must resolve the issue regardless of the “forever remain inviolate” language of Section 25.</w:t>
      </w:r>
      <w:r>
        <w:rPr>
          <w:color w:val="000000" w:themeColor="text1"/>
        </w:rPr>
        <w:t xml:space="preserve">  </w:t>
      </w:r>
      <w:r w:rsidRPr="00082AED">
        <w:rPr>
          <w:color w:val="000000" w:themeColor="text1"/>
        </w:rPr>
        <w:t>It is appropriate and indeed necessary for the courts to balance the competing interests</w:t>
      </w:r>
      <w:r>
        <w:rPr>
          <w:color w:val="000000" w:themeColor="text1"/>
        </w:rPr>
        <w:t xml:space="preserve">, as was done in </w:t>
      </w:r>
      <w:r w:rsidR="00E07729">
        <w:rPr>
          <w:i/>
          <w:iCs/>
          <w:color w:val="000000" w:themeColor="text1"/>
        </w:rPr>
        <w:t xml:space="preserve">Sugar Grove Township v. </w:t>
      </w:r>
      <w:r w:rsidR="00406CA2">
        <w:rPr>
          <w:i/>
          <w:iCs/>
          <w:color w:val="000000" w:themeColor="text1"/>
        </w:rPr>
        <w:t>Byler</w:t>
      </w:r>
      <w:r>
        <w:rPr>
          <w:color w:val="000000" w:themeColor="text1"/>
        </w:rPr>
        <w:t>.</w:t>
      </w:r>
    </w:p>
    <w:p w14:paraId="05A0F77A" w14:textId="77777777" w:rsidR="00C9510E" w:rsidRPr="00082AED" w:rsidRDefault="00C9510E" w:rsidP="00150C8D">
      <w:pPr>
        <w:pStyle w:val="NormalWeb"/>
        <w:spacing w:before="0" w:beforeAutospacing="0" w:after="0" w:afterAutospacing="0" w:line="480" w:lineRule="auto"/>
        <w:ind w:firstLine="360"/>
        <w:rPr>
          <w:color w:val="000000" w:themeColor="text1"/>
        </w:rPr>
      </w:pPr>
    </w:p>
    <w:p w14:paraId="0EE4F85C" w14:textId="4794D0DD" w:rsidR="005B6B84" w:rsidRPr="00082AED" w:rsidRDefault="005B6B84" w:rsidP="009B5851">
      <w:pPr>
        <w:pStyle w:val="NormalWeb"/>
        <w:spacing w:before="0" w:beforeAutospacing="0" w:after="0" w:afterAutospacing="0" w:line="480" w:lineRule="auto"/>
        <w:ind w:firstLine="360"/>
        <w:rPr>
          <w:color w:val="000000" w:themeColor="text1"/>
        </w:rPr>
      </w:pPr>
      <w:r w:rsidRPr="00082AED">
        <w:rPr>
          <w:color w:val="000000" w:themeColor="text1"/>
        </w:rPr>
        <w:lastRenderedPageBreak/>
        <w:t xml:space="preserve">On one </w:t>
      </w:r>
      <w:r w:rsidR="00C9510E">
        <w:rPr>
          <w:color w:val="000000" w:themeColor="text1"/>
        </w:rPr>
        <w:t xml:space="preserve">side </w:t>
      </w:r>
      <w:r w:rsidR="00E07729">
        <w:rPr>
          <w:color w:val="000000" w:themeColor="text1"/>
        </w:rPr>
        <w:t xml:space="preserve">of this case </w:t>
      </w:r>
      <w:r w:rsidR="00C9510E">
        <w:rPr>
          <w:color w:val="000000" w:themeColor="text1"/>
        </w:rPr>
        <w:t xml:space="preserve">was the </w:t>
      </w:r>
      <w:r w:rsidR="00E07729">
        <w:rPr>
          <w:color w:val="000000" w:themeColor="text1"/>
        </w:rPr>
        <w:t xml:space="preserve">Township’s interest in protecting the </w:t>
      </w:r>
      <w:r w:rsidR="00C9510E">
        <w:rPr>
          <w:color w:val="000000" w:themeColor="text1"/>
        </w:rPr>
        <w:t>public’s right to a clean</w:t>
      </w:r>
      <w:r w:rsidRPr="00082AED">
        <w:rPr>
          <w:color w:val="000000" w:themeColor="text1"/>
        </w:rPr>
        <w:t xml:space="preserve"> environment.</w:t>
      </w:r>
      <w:r w:rsidR="007577B1" w:rsidRPr="00082AED">
        <w:rPr>
          <w:color w:val="000000" w:themeColor="text1"/>
        </w:rPr>
        <w:t xml:space="preserve">  </w:t>
      </w:r>
      <w:r w:rsidR="007E62E7" w:rsidRPr="00082AED">
        <w:rPr>
          <w:color w:val="000000" w:themeColor="text1"/>
        </w:rPr>
        <w:t>Although</w:t>
      </w:r>
      <w:r w:rsidRPr="00082AED">
        <w:rPr>
          <w:color w:val="000000" w:themeColor="text1"/>
        </w:rPr>
        <w:t xml:space="preserve"> the Environment</w:t>
      </w:r>
      <w:r w:rsidR="00E60515" w:rsidRPr="00082AED">
        <w:rPr>
          <w:color w:val="000000" w:themeColor="text1"/>
        </w:rPr>
        <w:t>al</w:t>
      </w:r>
      <w:r w:rsidRPr="00082AED">
        <w:rPr>
          <w:color w:val="000000" w:themeColor="text1"/>
        </w:rPr>
        <w:t xml:space="preserve"> Rights Amendment to the Pennsylvania Constitution proudly declares that the people are entitled to clean air and pure water</w:t>
      </w:r>
      <w:r w:rsidR="00E60515" w:rsidRPr="00082AED">
        <w:rPr>
          <w:color w:val="000000" w:themeColor="text1"/>
        </w:rPr>
        <w:t>,</w:t>
      </w:r>
      <w:r w:rsidR="00E60515" w:rsidRPr="00082AED">
        <w:rPr>
          <w:rStyle w:val="FootnoteReference"/>
          <w:color w:val="000000" w:themeColor="text1"/>
        </w:rPr>
        <w:footnoteReference w:id="128"/>
      </w:r>
      <w:r w:rsidR="00E60515" w:rsidRPr="00082AED">
        <w:rPr>
          <w:color w:val="000000" w:themeColor="text1"/>
        </w:rPr>
        <w:t xml:space="preserve"> the reality is that Pennsylvania is a highly polluted state.</w:t>
      </w:r>
      <w:r w:rsidR="00E60515" w:rsidRPr="00082AED">
        <w:rPr>
          <w:rStyle w:val="FootnoteReference"/>
          <w:color w:val="000000" w:themeColor="text1"/>
        </w:rPr>
        <w:footnoteReference w:id="129"/>
      </w:r>
      <w:r w:rsidR="00E60515" w:rsidRPr="00082AED">
        <w:rPr>
          <w:color w:val="000000" w:themeColor="text1"/>
        </w:rPr>
        <w:t xml:space="preserve"> </w:t>
      </w:r>
      <w:r w:rsidR="007577B1" w:rsidRPr="00082AED">
        <w:rPr>
          <w:color w:val="000000" w:themeColor="text1"/>
        </w:rPr>
        <w:t xml:space="preserve"> </w:t>
      </w:r>
      <w:r w:rsidR="00770951" w:rsidRPr="00082AED">
        <w:rPr>
          <w:color w:val="000000" w:themeColor="text1"/>
        </w:rPr>
        <w:t xml:space="preserve">A long history of environmental abuse by industry, mining, and the public in general has left a legacy of problems. </w:t>
      </w:r>
      <w:r w:rsidR="00E60515" w:rsidRPr="00082AED">
        <w:rPr>
          <w:color w:val="000000" w:themeColor="text1"/>
        </w:rPr>
        <w:t>T</w:t>
      </w:r>
      <w:r w:rsidR="00770951" w:rsidRPr="00082AED">
        <w:rPr>
          <w:color w:val="000000" w:themeColor="text1"/>
        </w:rPr>
        <w:t xml:space="preserve">oday, there </w:t>
      </w:r>
      <w:r w:rsidR="00E60515" w:rsidRPr="00082AED">
        <w:rPr>
          <w:color w:val="000000" w:themeColor="text1"/>
        </w:rPr>
        <w:t>are over 19,000 miles of impaired streams</w:t>
      </w:r>
      <w:r w:rsidR="00963D3B" w:rsidRPr="00082AED">
        <w:rPr>
          <w:color w:val="000000" w:themeColor="text1"/>
        </w:rPr>
        <w:t xml:space="preserve"> in the Commonwealth</w:t>
      </w:r>
      <w:r w:rsidR="00E60515" w:rsidRPr="00082AED">
        <w:rPr>
          <w:color w:val="000000" w:themeColor="text1"/>
        </w:rPr>
        <w:t>.</w:t>
      </w:r>
      <w:r w:rsidR="00E60515" w:rsidRPr="00082AED">
        <w:rPr>
          <w:rStyle w:val="FootnoteReference"/>
          <w:color w:val="000000" w:themeColor="text1"/>
        </w:rPr>
        <w:footnoteReference w:id="130"/>
      </w:r>
      <w:r w:rsidR="00E60515" w:rsidRPr="00082AED">
        <w:rPr>
          <w:color w:val="000000" w:themeColor="text1"/>
        </w:rPr>
        <w:t xml:space="preserve"> </w:t>
      </w:r>
      <w:r w:rsidR="007577B1" w:rsidRPr="00082AED">
        <w:rPr>
          <w:color w:val="000000" w:themeColor="text1"/>
        </w:rPr>
        <w:t xml:space="preserve"> </w:t>
      </w:r>
      <w:r w:rsidR="00770951" w:rsidRPr="00082AED">
        <w:rPr>
          <w:color w:val="000000" w:themeColor="text1"/>
        </w:rPr>
        <w:t>I</w:t>
      </w:r>
      <w:r w:rsidR="00332681" w:rsidRPr="00082AED">
        <w:rPr>
          <w:color w:val="000000" w:themeColor="text1"/>
        </w:rPr>
        <w:t xml:space="preserve">t </w:t>
      </w:r>
      <w:r w:rsidR="00DA2CBF" w:rsidRPr="00082AED">
        <w:rPr>
          <w:color w:val="000000" w:themeColor="text1"/>
        </w:rPr>
        <w:t xml:space="preserve">is crucial </w:t>
      </w:r>
      <w:r w:rsidR="00770951" w:rsidRPr="00082AED">
        <w:rPr>
          <w:color w:val="000000" w:themeColor="text1"/>
        </w:rPr>
        <w:t xml:space="preserve">for Pennsylvania to take </w:t>
      </w:r>
      <w:r w:rsidR="00DA2CBF" w:rsidRPr="00082AED">
        <w:rPr>
          <w:color w:val="000000" w:themeColor="text1"/>
        </w:rPr>
        <w:t>action</w:t>
      </w:r>
      <w:r w:rsidR="00770951" w:rsidRPr="00082AED">
        <w:rPr>
          <w:color w:val="000000" w:themeColor="text1"/>
        </w:rPr>
        <w:t>,</w:t>
      </w:r>
      <w:r w:rsidR="00DA2CBF" w:rsidRPr="00082AED">
        <w:rPr>
          <w:color w:val="000000" w:themeColor="text1"/>
        </w:rPr>
        <w:t xml:space="preserve"> clean up these problems</w:t>
      </w:r>
      <w:r w:rsidR="00C6591A" w:rsidRPr="00082AED">
        <w:rPr>
          <w:color w:val="000000" w:themeColor="text1"/>
        </w:rPr>
        <w:t>,</w:t>
      </w:r>
      <w:r w:rsidR="00DA2CBF" w:rsidRPr="00082AED">
        <w:rPr>
          <w:color w:val="000000" w:themeColor="text1"/>
        </w:rPr>
        <w:t xml:space="preserve"> and avoid further desecration of </w:t>
      </w:r>
      <w:r w:rsidR="00770951" w:rsidRPr="00082AED">
        <w:rPr>
          <w:color w:val="000000" w:themeColor="text1"/>
        </w:rPr>
        <w:t>its</w:t>
      </w:r>
      <w:r w:rsidR="00DA2CBF" w:rsidRPr="00082AED">
        <w:rPr>
          <w:color w:val="000000" w:themeColor="text1"/>
        </w:rPr>
        <w:t xml:space="preserve"> natural resources.</w:t>
      </w:r>
      <w:r w:rsidR="00C9510E">
        <w:rPr>
          <w:color w:val="000000" w:themeColor="text1"/>
        </w:rPr>
        <w:t xml:space="preserve">  </w:t>
      </w:r>
      <w:r w:rsidR="00C6591A" w:rsidRPr="00082AED">
        <w:rPr>
          <w:color w:val="000000" w:themeColor="text1"/>
        </w:rPr>
        <w:t>S</w:t>
      </w:r>
      <w:r w:rsidR="00E60515" w:rsidRPr="00082AED">
        <w:rPr>
          <w:color w:val="000000" w:themeColor="text1"/>
        </w:rPr>
        <w:t>tate budgets are hard-pressed</w:t>
      </w:r>
      <w:r w:rsidR="00C6591A" w:rsidRPr="00082AED">
        <w:rPr>
          <w:color w:val="000000" w:themeColor="text1"/>
        </w:rPr>
        <w:t>,</w:t>
      </w:r>
      <w:r w:rsidR="00E60515" w:rsidRPr="00082AED">
        <w:rPr>
          <w:color w:val="000000" w:themeColor="text1"/>
        </w:rPr>
        <w:t xml:space="preserve"> and funds are scarce for </w:t>
      </w:r>
      <w:r w:rsidR="00C9510E">
        <w:rPr>
          <w:color w:val="000000" w:themeColor="text1"/>
        </w:rPr>
        <w:t xml:space="preserve">needed </w:t>
      </w:r>
      <w:r w:rsidR="00E60515" w:rsidRPr="00082AED">
        <w:rPr>
          <w:color w:val="000000" w:themeColor="text1"/>
        </w:rPr>
        <w:t>programs like protecting safe drinking water and cleaning up the Chesapeake Bay.</w:t>
      </w:r>
      <w:r w:rsidR="00E60515" w:rsidRPr="00082AED">
        <w:rPr>
          <w:rStyle w:val="FootnoteReference"/>
          <w:color w:val="000000" w:themeColor="text1"/>
        </w:rPr>
        <w:footnoteReference w:id="131"/>
      </w:r>
      <w:r w:rsidR="007577B1" w:rsidRPr="00082AED">
        <w:rPr>
          <w:color w:val="000000" w:themeColor="text1"/>
        </w:rPr>
        <w:t xml:space="preserve">  </w:t>
      </w:r>
      <w:r w:rsidR="00E60515" w:rsidRPr="00082AED">
        <w:rPr>
          <w:color w:val="000000" w:themeColor="text1"/>
        </w:rPr>
        <w:t xml:space="preserve">Nonetheless, citizens </w:t>
      </w:r>
      <w:r w:rsidR="00DA2CBF" w:rsidRPr="00082AED">
        <w:rPr>
          <w:color w:val="000000" w:themeColor="text1"/>
        </w:rPr>
        <w:t xml:space="preserve">and lawmakers have </w:t>
      </w:r>
      <w:r w:rsidR="00D5563B" w:rsidRPr="00082AED">
        <w:rPr>
          <w:color w:val="000000" w:themeColor="text1"/>
        </w:rPr>
        <w:t>become increasingly aware</w:t>
      </w:r>
      <w:r w:rsidR="00E60515" w:rsidRPr="00082AED">
        <w:rPr>
          <w:color w:val="000000" w:themeColor="text1"/>
        </w:rPr>
        <w:t xml:space="preserve"> that uncontrolled pollution cannot continue, even in the most rural and remote parts of </w:t>
      </w:r>
      <w:r w:rsidR="00963D3B" w:rsidRPr="00082AED">
        <w:rPr>
          <w:color w:val="000000" w:themeColor="text1"/>
        </w:rPr>
        <w:t>Pennsylvania</w:t>
      </w:r>
      <w:r w:rsidR="00E60515" w:rsidRPr="00082AED">
        <w:rPr>
          <w:color w:val="000000" w:themeColor="text1"/>
        </w:rPr>
        <w:t xml:space="preserve">. </w:t>
      </w:r>
      <w:r w:rsidR="007577B1" w:rsidRPr="00082AED">
        <w:rPr>
          <w:color w:val="000000" w:themeColor="text1"/>
        </w:rPr>
        <w:t xml:space="preserve"> </w:t>
      </w:r>
      <w:r w:rsidR="00DA2CBF" w:rsidRPr="00082AED">
        <w:rPr>
          <w:color w:val="000000" w:themeColor="text1"/>
        </w:rPr>
        <w:t>Their</w:t>
      </w:r>
      <w:r w:rsidR="00E60515" w:rsidRPr="00082AED">
        <w:rPr>
          <w:color w:val="000000" w:themeColor="text1"/>
        </w:rPr>
        <w:t xml:space="preserve"> concerns have sparked </w:t>
      </w:r>
      <w:r w:rsidR="00C51278" w:rsidRPr="00082AED">
        <w:rPr>
          <w:color w:val="000000" w:themeColor="text1"/>
        </w:rPr>
        <w:t>legislation</w:t>
      </w:r>
      <w:r w:rsidR="00E60515" w:rsidRPr="00082AED">
        <w:rPr>
          <w:color w:val="000000" w:themeColor="text1"/>
        </w:rPr>
        <w:t xml:space="preserve"> such as the Sewage Facilities Act and local </w:t>
      </w:r>
      <w:r w:rsidR="007E62E7" w:rsidRPr="00082AED">
        <w:rPr>
          <w:color w:val="000000" w:themeColor="text1"/>
        </w:rPr>
        <w:t>laws</w:t>
      </w:r>
      <w:r w:rsidR="00E60515" w:rsidRPr="00082AED">
        <w:rPr>
          <w:color w:val="000000" w:themeColor="text1"/>
        </w:rPr>
        <w:t xml:space="preserve"> like Sugar Grove Township’s Privy Ordinance.</w:t>
      </w:r>
      <w:r w:rsidR="008A1A91" w:rsidRPr="00082AED">
        <w:rPr>
          <w:color w:val="000000" w:themeColor="text1"/>
        </w:rPr>
        <w:t xml:space="preserve"> </w:t>
      </w:r>
    </w:p>
    <w:p w14:paraId="04979E60" w14:textId="03AC9052" w:rsidR="00EF4BB3" w:rsidRPr="00082AED" w:rsidRDefault="0048029A" w:rsidP="00E07729">
      <w:pPr>
        <w:pStyle w:val="NormalWeb"/>
        <w:spacing w:before="0" w:beforeAutospacing="0" w:after="0" w:afterAutospacing="0" w:line="480" w:lineRule="auto"/>
        <w:ind w:firstLine="360"/>
        <w:rPr>
          <w:color w:val="000000" w:themeColor="text1"/>
        </w:rPr>
      </w:pPr>
      <w:r w:rsidRPr="00082AED">
        <w:rPr>
          <w:color w:val="000000" w:themeColor="text1"/>
        </w:rPr>
        <w:t xml:space="preserve">On </w:t>
      </w:r>
      <w:r w:rsidR="00C9510E">
        <w:rPr>
          <w:color w:val="000000" w:themeColor="text1"/>
        </w:rPr>
        <w:t>Mrs. B</w:t>
      </w:r>
      <w:r w:rsidR="00DD450D">
        <w:rPr>
          <w:color w:val="000000" w:themeColor="text1"/>
        </w:rPr>
        <w:t>yl</w:t>
      </w:r>
      <w:r w:rsidR="00C9510E">
        <w:rPr>
          <w:color w:val="000000" w:themeColor="text1"/>
        </w:rPr>
        <w:t>er’s side</w:t>
      </w:r>
      <w:r w:rsidR="00E07729">
        <w:rPr>
          <w:color w:val="000000" w:themeColor="text1"/>
        </w:rPr>
        <w:t xml:space="preserve"> was </w:t>
      </w:r>
      <w:r w:rsidR="00622989">
        <w:rPr>
          <w:color w:val="000000" w:themeColor="text1"/>
        </w:rPr>
        <w:t>her</w:t>
      </w:r>
      <w:r w:rsidR="00DD450D">
        <w:rPr>
          <w:color w:val="000000" w:themeColor="text1"/>
        </w:rPr>
        <w:t xml:space="preserve"> </w:t>
      </w:r>
      <w:r w:rsidR="00E07729">
        <w:rPr>
          <w:color w:val="000000" w:themeColor="text1"/>
        </w:rPr>
        <w:t xml:space="preserve">individual </w:t>
      </w:r>
      <w:r w:rsidR="00C9510E">
        <w:rPr>
          <w:color w:val="000000" w:themeColor="text1"/>
        </w:rPr>
        <w:t xml:space="preserve">right to </w:t>
      </w:r>
      <w:r w:rsidR="000C6AF2" w:rsidRPr="00082AED">
        <w:rPr>
          <w:color w:val="000000" w:themeColor="text1"/>
        </w:rPr>
        <w:t xml:space="preserve">personal and religious freedom </w:t>
      </w:r>
      <w:r w:rsidR="00E07729">
        <w:rPr>
          <w:color w:val="000000" w:themeColor="text1"/>
        </w:rPr>
        <w:t xml:space="preserve">that </w:t>
      </w:r>
      <w:r w:rsidR="000C6AF2" w:rsidRPr="00082AED">
        <w:rPr>
          <w:color w:val="000000" w:themeColor="text1"/>
        </w:rPr>
        <w:t>ha</w:t>
      </w:r>
      <w:r w:rsidR="00C9510E">
        <w:rPr>
          <w:color w:val="000000" w:themeColor="text1"/>
        </w:rPr>
        <w:t>s</w:t>
      </w:r>
      <w:r w:rsidR="000C6AF2" w:rsidRPr="00082AED">
        <w:rPr>
          <w:color w:val="000000" w:themeColor="text1"/>
        </w:rPr>
        <w:t xml:space="preserve"> long been highly cherished in Pennsylvania. </w:t>
      </w:r>
      <w:r w:rsidR="007577B1" w:rsidRPr="00082AED">
        <w:rPr>
          <w:color w:val="000000" w:themeColor="text1"/>
        </w:rPr>
        <w:t xml:space="preserve"> </w:t>
      </w:r>
      <w:r w:rsidR="0035338E" w:rsidRPr="00082AED">
        <w:rPr>
          <w:color w:val="000000" w:themeColor="text1"/>
        </w:rPr>
        <w:t xml:space="preserve">William Penn’s </w:t>
      </w:r>
      <w:r w:rsidR="00121F17" w:rsidRPr="00082AED">
        <w:rPr>
          <w:color w:val="000000" w:themeColor="text1"/>
        </w:rPr>
        <w:t xml:space="preserve">colony was founded on the </w:t>
      </w:r>
      <w:r w:rsidR="0035338E" w:rsidRPr="00082AED">
        <w:rPr>
          <w:color w:val="000000" w:themeColor="text1"/>
        </w:rPr>
        <w:t>ideal that all people and beliefs would be tolerated.</w:t>
      </w:r>
      <w:r w:rsidR="008C6F2B" w:rsidRPr="00082AED">
        <w:rPr>
          <w:rStyle w:val="FootnoteReference"/>
          <w:color w:val="000000" w:themeColor="text1"/>
        </w:rPr>
        <w:footnoteReference w:id="132"/>
      </w:r>
      <w:r w:rsidR="0035338E" w:rsidRPr="00082AED">
        <w:rPr>
          <w:color w:val="000000" w:themeColor="text1"/>
        </w:rPr>
        <w:t xml:space="preserve"> </w:t>
      </w:r>
      <w:r w:rsidR="007577B1" w:rsidRPr="00082AED">
        <w:rPr>
          <w:color w:val="000000" w:themeColor="text1"/>
        </w:rPr>
        <w:t xml:space="preserve"> </w:t>
      </w:r>
      <w:r w:rsidR="00121F17" w:rsidRPr="00082AED">
        <w:rPr>
          <w:color w:val="000000" w:themeColor="text1"/>
        </w:rPr>
        <w:t>A</w:t>
      </w:r>
      <w:r w:rsidR="00352A2E" w:rsidRPr="00082AED">
        <w:rPr>
          <w:color w:val="000000" w:themeColor="text1"/>
        </w:rPr>
        <w:t xml:space="preserve"> </w:t>
      </w:r>
      <w:r w:rsidR="0035338E" w:rsidRPr="00082AED">
        <w:rPr>
          <w:color w:val="000000" w:themeColor="text1"/>
        </w:rPr>
        <w:t xml:space="preserve">desire </w:t>
      </w:r>
      <w:r w:rsidR="00121F17" w:rsidRPr="00082AED">
        <w:rPr>
          <w:color w:val="000000" w:themeColor="text1"/>
        </w:rPr>
        <w:t>to</w:t>
      </w:r>
      <w:r w:rsidR="0035338E" w:rsidRPr="00082AED">
        <w:rPr>
          <w:color w:val="000000" w:themeColor="text1"/>
        </w:rPr>
        <w:t xml:space="preserve"> pursue religious freedom </w:t>
      </w:r>
      <w:r w:rsidR="00EE6795" w:rsidRPr="00082AED">
        <w:rPr>
          <w:color w:val="000000" w:themeColor="text1"/>
        </w:rPr>
        <w:t xml:space="preserve">and individual liberty </w:t>
      </w:r>
      <w:r w:rsidR="0035338E" w:rsidRPr="00082AED">
        <w:rPr>
          <w:color w:val="000000" w:themeColor="text1"/>
        </w:rPr>
        <w:t xml:space="preserve">without </w:t>
      </w:r>
      <w:r w:rsidR="00EE6795" w:rsidRPr="00082AED">
        <w:rPr>
          <w:color w:val="000000" w:themeColor="text1"/>
        </w:rPr>
        <w:t xml:space="preserve">undue </w:t>
      </w:r>
      <w:r w:rsidR="0035338E" w:rsidRPr="00082AED">
        <w:rPr>
          <w:color w:val="000000" w:themeColor="text1"/>
        </w:rPr>
        <w:t>governmental interference</w:t>
      </w:r>
      <w:r w:rsidR="00121F17" w:rsidRPr="00082AED">
        <w:rPr>
          <w:color w:val="000000" w:themeColor="text1"/>
        </w:rPr>
        <w:t xml:space="preserve"> remains part of Pennsylvania’s culture to</w:t>
      </w:r>
      <w:r w:rsidR="00D87770" w:rsidRPr="00082AED">
        <w:rPr>
          <w:color w:val="000000" w:themeColor="text1"/>
        </w:rPr>
        <w:t xml:space="preserve"> this day</w:t>
      </w:r>
      <w:r w:rsidR="0035338E" w:rsidRPr="00082AED">
        <w:rPr>
          <w:color w:val="000000" w:themeColor="text1"/>
        </w:rPr>
        <w:t xml:space="preserve">. </w:t>
      </w:r>
      <w:r w:rsidR="007577B1" w:rsidRPr="00082AED">
        <w:rPr>
          <w:color w:val="000000" w:themeColor="text1"/>
        </w:rPr>
        <w:t xml:space="preserve"> </w:t>
      </w:r>
      <w:r w:rsidR="00DF448A" w:rsidRPr="00082AED">
        <w:rPr>
          <w:color w:val="000000" w:themeColor="text1"/>
        </w:rPr>
        <w:t>Landowners, even those without religious considerations</w:t>
      </w:r>
      <w:r w:rsidR="000E667E" w:rsidRPr="00082AED">
        <w:rPr>
          <w:color w:val="000000" w:themeColor="text1"/>
        </w:rPr>
        <w:t>,</w:t>
      </w:r>
      <w:r w:rsidR="00DF448A" w:rsidRPr="00082AED">
        <w:rPr>
          <w:color w:val="000000" w:themeColor="text1"/>
        </w:rPr>
        <w:t xml:space="preserve"> </w:t>
      </w:r>
      <w:r w:rsidR="00FB3095" w:rsidRPr="00082AED">
        <w:rPr>
          <w:color w:val="000000" w:themeColor="text1"/>
        </w:rPr>
        <w:t>often</w:t>
      </w:r>
      <w:r w:rsidR="00DF448A" w:rsidRPr="00082AED">
        <w:rPr>
          <w:color w:val="000000" w:themeColor="text1"/>
        </w:rPr>
        <w:t xml:space="preserve"> resent being told how to manage and use their </w:t>
      </w:r>
      <w:r w:rsidR="00FB3095" w:rsidRPr="00082AED">
        <w:rPr>
          <w:color w:val="000000" w:themeColor="text1"/>
        </w:rPr>
        <w:t xml:space="preserve">private </w:t>
      </w:r>
      <w:r w:rsidR="00DF448A" w:rsidRPr="00082AED">
        <w:rPr>
          <w:color w:val="000000" w:themeColor="text1"/>
        </w:rPr>
        <w:t>property.</w:t>
      </w:r>
      <w:r w:rsidR="00352A2E" w:rsidRPr="00082AED">
        <w:rPr>
          <w:rStyle w:val="FootnoteReference"/>
          <w:color w:val="000000" w:themeColor="text1"/>
        </w:rPr>
        <w:footnoteReference w:id="133"/>
      </w:r>
      <w:r w:rsidR="00DF448A" w:rsidRPr="00082AED">
        <w:rPr>
          <w:color w:val="000000" w:themeColor="text1"/>
        </w:rPr>
        <w:t xml:space="preserve"> </w:t>
      </w:r>
      <w:r w:rsidR="007577B1" w:rsidRPr="00082AED">
        <w:rPr>
          <w:color w:val="000000" w:themeColor="text1"/>
        </w:rPr>
        <w:t xml:space="preserve"> </w:t>
      </w:r>
      <w:r w:rsidR="000E667E" w:rsidRPr="00082AED">
        <w:rPr>
          <w:color w:val="000000" w:themeColor="text1"/>
        </w:rPr>
        <w:t>Resent</w:t>
      </w:r>
      <w:r w:rsidR="007E62E7" w:rsidRPr="00082AED">
        <w:rPr>
          <w:color w:val="000000" w:themeColor="text1"/>
        </w:rPr>
        <w:t>ment</w:t>
      </w:r>
      <w:r w:rsidR="000E667E" w:rsidRPr="00082AED">
        <w:rPr>
          <w:color w:val="000000" w:themeColor="text1"/>
        </w:rPr>
        <w:t xml:space="preserve"> </w:t>
      </w:r>
      <w:r w:rsidR="00DF448A" w:rsidRPr="00082AED">
        <w:rPr>
          <w:color w:val="000000" w:themeColor="text1"/>
        </w:rPr>
        <w:t xml:space="preserve">may </w:t>
      </w:r>
      <w:r w:rsidR="000E667E" w:rsidRPr="00082AED">
        <w:rPr>
          <w:color w:val="000000" w:themeColor="text1"/>
        </w:rPr>
        <w:t xml:space="preserve">also </w:t>
      </w:r>
      <w:r w:rsidR="00DF448A" w:rsidRPr="00082AED">
        <w:rPr>
          <w:color w:val="000000" w:themeColor="text1"/>
        </w:rPr>
        <w:t xml:space="preserve">be based </w:t>
      </w:r>
      <w:r w:rsidR="007E62E7" w:rsidRPr="00082AED">
        <w:rPr>
          <w:color w:val="000000" w:themeColor="text1"/>
        </w:rPr>
        <w:t xml:space="preserve">on </w:t>
      </w:r>
      <w:r w:rsidR="00DF448A" w:rsidRPr="00082AED">
        <w:rPr>
          <w:color w:val="000000" w:themeColor="text1"/>
        </w:rPr>
        <w:t xml:space="preserve">regulations </w:t>
      </w:r>
      <w:r w:rsidR="000E667E" w:rsidRPr="00082AED">
        <w:rPr>
          <w:color w:val="000000" w:themeColor="text1"/>
        </w:rPr>
        <w:t xml:space="preserve">that </w:t>
      </w:r>
      <w:r w:rsidR="00DF448A" w:rsidRPr="00082AED">
        <w:rPr>
          <w:color w:val="000000" w:themeColor="text1"/>
        </w:rPr>
        <w:lastRenderedPageBreak/>
        <w:t xml:space="preserve">require burdensome planning or record-keeping, </w:t>
      </w:r>
      <w:r w:rsidR="00FB3095" w:rsidRPr="00082AED">
        <w:rPr>
          <w:color w:val="000000" w:themeColor="text1"/>
        </w:rPr>
        <w:t xml:space="preserve">especially </w:t>
      </w:r>
      <w:r w:rsidR="000E667E" w:rsidRPr="00082AED">
        <w:rPr>
          <w:color w:val="000000" w:themeColor="text1"/>
        </w:rPr>
        <w:t xml:space="preserve">when </w:t>
      </w:r>
      <w:r w:rsidR="00DF448A" w:rsidRPr="00082AED">
        <w:rPr>
          <w:color w:val="000000" w:themeColor="text1"/>
        </w:rPr>
        <w:t xml:space="preserve">property owners </w:t>
      </w:r>
      <w:r w:rsidR="000E667E" w:rsidRPr="00082AED">
        <w:rPr>
          <w:color w:val="000000" w:themeColor="text1"/>
        </w:rPr>
        <w:t>are forced to</w:t>
      </w:r>
      <w:r w:rsidR="00DF448A" w:rsidRPr="00082AED">
        <w:rPr>
          <w:color w:val="000000" w:themeColor="text1"/>
        </w:rPr>
        <w:t xml:space="preserve"> incur significant financial costs in order to comply.</w:t>
      </w:r>
      <w:r w:rsidRPr="00082AED">
        <w:rPr>
          <w:rStyle w:val="FootnoteReference"/>
          <w:color w:val="000000" w:themeColor="text1"/>
        </w:rPr>
        <w:footnoteReference w:id="134"/>
      </w:r>
      <w:r w:rsidR="00DF448A" w:rsidRPr="00082AED">
        <w:rPr>
          <w:color w:val="000000" w:themeColor="text1"/>
        </w:rPr>
        <w:t xml:space="preserve"> </w:t>
      </w:r>
    </w:p>
    <w:p w14:paraId="3025A30C" w14:textId="1F86689A" w:rsidR="005A63E9" w:rsidRPr="00082AED" w:rsidRDefault="00FB3095" w:rsidP="00150C8D">
      <w:pPr>
        <w:pStyle w:val="NormalWeb"/>
        <w:spacing w:before="0" w:beforeAutospacing="0" w:after="0" w:afterAutospacing="0" w:line="480" w:lineRule="auto"/>
        <w:ind w:firstLine="360"/>
        <w:rPr>
          <w:color w:val="000000" w:themeColor="text1"/>
        </w:rPr>
      </w:pPr>
      <w:r w:rsidRPr="00082AED">
        <w:rPr>
          <w:color w:val="000000" w:themeColor="text1"/>
        </w:rPr>
        <w:t>There is a general issue of cost</w:t>
      </w:r>
      <w:r w:rsidR="00DD4114">
        <w:rPr>
          <w:color w:val="000000" w:themeColor="text1"/>
        </w:rPr>
        <w:t xml:space="preserve"> to small farms</w:t>
      </w:r>
      <w:r w:rsidRPr="00082AED">
        <w:rPr>
          <w:color w:val="000000" w:themeColor="text1"/>
        </w:rPr>
        <w:t xml:space="preserve">. </w:t>
      </w:r>
      <w:r w:rsidR="0008415E" w:rsidRPr="00082AED">
        <w:rPr>
          <w:color w:val="000000" w:themeColor="text1"/>
        </w:rPr>
        <w:t>The</w:t>
      </w:r>
      <w:r w:rsidR="00083A40" w:rsidRPr="00082AED">
        <w:rPr>
          <w:color w:val="000000" w:themeColor="text1"/>
        </w:rPr>
        <w:t xml:space="preserve"> last Census of Agriculture, taken in </w:t>
      </w:r>
      <w:r w:rsidRPr="00082AED">
        <w:rPr>
          <w:color w:val="000000" w:themeColor="text1"/>
        </w:rPr>
        <w:t>201</w:t>
      </w:r>
      <w:r w:rsidR="00083A40" w:rsidRPr="00082AED">
        <w:rPr>
          <w:color w:val="000000" w:themeColor="text1"/>
        </w:rPr>
        <w:t>2</w:t>
      </w:r>
      <w:r w:rsidRPr="00082AED">
        <w:rPr>
          <w:color w:val="000000" w:themeColor="text1"/>
        </w:rPr>
        <w:t xml:space="preserve">, </w:t>
      </w:r>
      <w:r w:rsidR="0008415E" w:rsidRPr="00082AED">
        <w:rPr>
          <w:color w:val="000000" w:themeColor="text1"/>
        </w:rPr>
        <w:t xml:space="preserve">reported that </w:t>
      </w:r>
      <w:r w:rsidRPr="00082AED">
        <w:rPr>
          <w:color w:val="000000" w:themeColor="text1"/>
        </w:rPr>
        <w:t>a</w:t>
      </w:r>
      <w:r w:rsidR="00083A40" w:rsidRPr="00082AED">
        <w:rPr>
          <w:color w:val="000000" w:themeColor="text1"/>
        </w:rPr>
        <w:t xml:space="preserve"> little over</w:t>
      </w:r>
      <w:r w:rsidR="00EF4BB3" w:rsidRPr="00082AED">
        <w:rPr>
          <w:color w:val="000000" w:themeColor="text1"/>
        </w:rPr>
        <w:t xml:space="preserve"> 5</w:t>
      </w:r>
      <w:r w:rsidR="00083A40" w:rsidRPr="00082AED">
        <w:rPr>
          <w:color w:val="000000" w:themeColor="text1"/>
        </w:rPr>
        <w:t>9</w:t>
      </w:r>
      <w:r w:rsidR="00EF4BB3" w:rsidRPr="00082AED">
        <w:rPr>
          <w:color w:val="000000" w:themeColor="text1"/>
        </w:rPr>
        <w:t>,000 farms remain in Pennsylvania</w:t>
      </w:r>
      <w:r w:rsidR="00E144B0" w:rsidRPr="00082AED">
        <w:rPr>
          <w:color w:val="000000" w:themeColor="text1"/>
        </w:rPr>
        <w:t>.</w:t>
      </w:r>
      <w:r w:rsidR="00EF4BB3" w:rsidRPr="00082AED">
        <w:rPr>
          <w:rStyle w:val="FootnoteReference"/>
          <w:color w:val="000000" w:themeColor="text1"/>
        </w:rPr>
        <w:footnoteReference w:id="135"/>
      </w:r>
      <w:r w:rsidR="005A63E9" w:rsidRPr="00082AED">
        <w:rPr>
          <w:color w:val="000000" w:themeColor="text1"/>
        </w:rPr>
        <w:t xml:space="preserve"> </w:t>
      </w:r>
      <w:r w:rsidR="007577B1" w:rsidRPr="00082AED">
        <w:rPr>
          <w:color w:val="000000" w:themeColor="text1"/>
        </w:rPr>
        <w:t xml:space="preserve"> </w:t>
      </w:r>
      <w:r w:rsidRPr="00082AED">
        <w:rPr>
          <w:color w:val="000000" w:themeColor="text1"/>
        </w:rPr>
        <w:t xml:space="preserve">While it is true that farms can create pollution, </w:t>
      </w:r>
      <w:r w:rsidR="001E7B66" w:rsidRPr="00082AED">
        <w:rPr>
          <w:color w:val="000000" w:themeColor="text1"/>
        </w:rPr>
        <w:t xml:space="preserve">these </w:t>
      </w:r>
      <w:r w:rsidRPr="00082AED">
        <w:rPr>
          <w:color w:val="000000" w:themeColor="text1"/>
        </w:rPr>
        <w:t xml:space="preserve">farms also provide </w:t>
      </w:r>
      <w:r w:rsidR="001E7B66" w:rsidRPr="00082AED">
        <w:rPr>
          <w:color w:val="000000" w:themeColor="text1"/>
        </w:rPr>
        <w:t xml:space="preserve">open </w:t>
      </w:r>
      <w:r w:rsidRPr="00082AED">
        <w:rPr>
          <w:color w:val="000000" w:themeColor="text1"/>
        </w:rPr>
        <w:t xml:space="preserve">space and aesthetic beauty for all Pennsylvanians to enjoy. </w:t>
      </w:r>
      <w:r w:rsidR="005A63E9" w:rsidRPr="00082AED">
        <w:rPr>
          <w:color w:val="000000" w:themeColor="text1"/>
        </w:rPr>
        <w:t xml:space="preserve">These farms </w:t>
      </w:r>
      <w:r w:rsidRPr="00082AED">
        <w:rPr>
          <w:color w:val="000000" w:themeColor="text1"/>
        </w:rPr>
        <w:t xml:space="preserve">also generate </w:t>
      </w:r>
      <w:r w:rsidR="005A63E9" w:rsidRPr="00082AED">
        <w:rPr>
          <w:color w:val="000000" w:themeColor="text1"/>
        </w:rPr>
        <w:t>over $</w:t>
      </w:r>
      <w:r w:rsidR="00846C41" w:rsidRPr="00082AED">
        <w:rPr>
          <w:color w:val="000000" w:themeColor="text1"/>
        </w:rPr>
        <w:t>7</w:t>
      </w:r>
      <w:r w:rsidR="005A63E9" w:rsidRPr="00082AED">
        <w:rPr>
          <w:color w:val="000000" w:themeColor="text1"/>
        </w:rPr>
        <w:t xml:space="preserve"> billion in economic activity annually</w:t>
      </w:r>
      <w:r w:rsidRPr="00082AED">
        <w:rPr>
          <w:color w:val="000000" w:themeColor="text1"/>
        </w:rPr>
        <w:t xml:space="preserve"> to boost Pennsylvania’s economy</w:t>
      </w:r>
      <w:r w:rsidR="005A63E9" w:rsidRPr="00082AED">
        <w:rPr>
          <w:color w:val="000000" w:themeColor="text1"/>
        </w:rPr>
        <w:t>.</w:t>
      </w:r>
      <w:r w:rsidR="005A63E9" w:rsidRPr="00082AED">
        <w:rPr>
          <w:rStyle w:val="FootnoteReference"/>
          <w:color w:val="000000" w:themeColor="text1"/>
        </w:rPr>
        <w:footnoteReference w:id="136"/>
      </w:r>
      <w:r w:rsidR="007577B1" w:rsidRPr="00082AED">
        <w:rPr>
          <w:color w:val="000000" w:themeColor="text1"/>
        </w:rPr>
        <w:t xml:space="preserve">  </w:t>
      </w:r>
      <w:r w:rsidR="000E5C77" w:rsidRPr="00082AED">
        <w:rPr>
          <w:color w:val="000000" w:themeColor="text1"/>
        </w:rPr>
        <w:t xml:space="preserve">Unfortunately, environmental regulations </w:t>
      </w:r>
      <w:r w:rsidR="004B0AE8" w:rsidRPr="00082AED">
        <w:rPr>
          <w:color w:val="000000" w:themeColor="text1"/>
        </w:rPr>
        <w:t xml:space="preserve">that are too costly or burdensome </w:t>
      </w:r>
      <w:r w:rsidR="000E5C77" w:rsidRPr="00082AED">
        <w:rPr>
          <w:color w:val="000000" w:themeColor="text1"/>
        </w:rPr>
        <w:t>may drive many farm operations out of business</w:t>
      </w:r>
      <w:r w:rsidR="006C4277" w:rsidRPr="00082AED">
        <w:rPr>
          <w:color w:val="000000" w:themeColor="text1"/>
        </w:rPr>
        <w:t xml:space="preserve">, especially </w:t>
      </w:r>
      <w:r w:rsidR="000B2069">
        <w:rPr>
          <w:color w:val="000000" w:themeColor="text1"/>
        </w:rPr>
        <w:t xml:space="preserve">the </w:t>
      </w:r>
      <w:r w:rsidR="006C4277" w:rsidRPr="00082AED">
        <w:rPr>
          <w:color w:val="000000" w:themeColor="text1"/>
        </w:rPr>
        <w:t xml:space="preserve">small farms </w:t>
      </w:r>
      <w:r w:rsidR="000B2069">
        <w:rPr>
          <w:color w:val="000000" w:themeColor="text1"/>
        </w:rPr>
        <w:t xml:space="preserve">within the Commonwealth </w:t>
      </w:r>
      <w:r w:rsidR="006C4277" w:rsidRPr="00082AED">
        <w:rPr>
          <w:color w:val="000000" w:themeColor="text1"/>
        </w:rPr>
        <w:t>that often already operate at a loss</w:t>
      </w:r>
      <w:r w:rsidR="000E5C77" w:rsidRPr="00082AED">
        <w:rPr>
          <w:color w:val="000000" w:themeColor="text1"/>
        </w:rPr>
        <w:t>.</w:t>
      </w:r>
      <w:r w:rsidR="006C4277" w:rsidRPr="00082AED">
        <w:rPr>
          <w:rStyle w:val="FootnoteReference"/>
          <w:color w:val="000000" w:themeColor="text1"/>
        </w:rPr>
        <w:footnoteReference w:id="137"/>
      </w:r>
    </w:p>
    <w:p w14:paraId="18922385" w14:textId="62392DCE" w:rsidR="0008415E" w:rsidRPr="00082AED" w:rsidRDefault="005A63E9" w:rsidP="00150C8D">
      <w:pPr>
        <w:pStyle w:val="NormalWeb"/>
        <w:spacing w:before="0" w:beforeAutospacing="0" w:after="0" w:afterAutospacing="0" w:line="480" w:lineRule="auto"/>
        <w:ind w:firstLine="360"/>
        <w:rPr>
          <w:color w:val="000000" w:themeColor="text1"/>
        </w:rPr>
      </w:pPr>
      <w:r w:rsidRPr="00082AED">
        <w:rPr>
          <w:color w:val="000000" w:themeColor="text1"/>
        </w:rPr>
        <w:t xml:space="preserve">Small family farms appear to be at the greatest risk for </w:t>
      </w:r>
      <w:r w:rsidR="000E5C77" w:rsidRPr="00082AED">
        <w:rPr>
          <w:color w:val="000000" w:themeColor="text1"/>
        </w:rPr>
        <w:t>closing due to cost and burden of complying with environmental regulations.</w:t>
      </w:r>
      <w:r w:rsidR="009F22DB" w:rsidRPr="00082AED">
        <w:rPr>
          <w:rStyle w:val="FootnoteReference"/>
          <w:color w:val="000000" w:themeColor="text1"/>
        </w:rPr>
        <w:footnoteReference w:id="138"/>
      </w:r>
      <w:r w:rsidR="0008415E" w:rsidRPr="00082AED">
        <w:rPr>
          <w:color w:val="000000" w:themeColor="text1"/>
        </w:rPr>
        <w:t xml:space="preserve"> </w:t>
      </w:r>
      <w:r w:rsidR="007577B1" w:rsidRPr="00082AED">
        <w:rPr>
          <w:color w:val="000000" w:themeColor="text1"/>
        </w:rPr>
        <w:t xml:space="preserve"> </w:t>
      </w:r>
      <w:r w:rsidR="000E5C77" w:rsidRPr="00082AED">
        <w:rPr>
          <w:color w:val="000000" w:themeColor="text1"/>
        </w:rPr>
        <w:t>T</w:t>
      </w:r>
      <w:r w:rsidRPr="00082AED">
        <w:rPr>
          <w:color w:val="000000" w:themeColor="text1"/>
        </w:rPr>
        <w:t>his includes Amish farms.</w:t>
      </w:r>
      <w:r w:rsidR="00DD4114">
        <w:rPr>
          <w:color w:val="000000" w:themeColor="text1"/>
        </w:rPr>
        <w:t xml:space="preserve">  </w:t>
      </w:r>
      <w:r w:rsidR="00DF448A" w:rsidRPr="00082AED">
        <w:rPr>
          <w:color w:val="000000" w:themeColor="text1"/>
        </w:rPr>
        <w:t xml:space="preserve">The Amish, who hold a deep and abiding religious belief that </w:t>
      </w:r>
      <w:r w:rsidR="000E5C77" w:rsidRPr="00082AED">
        <w:rPr>
          <w:color w:val="000000" w:themeColor="text1"/>
        </w:rPr>
        <w:t xml:space="preserve">absolutely </w:t>
      </w:r>
      <w:r w:rsidR="00DF448A" w:rsidRPr="00082AED">
        <w:rPr>
          <w:color w:val="000000" w:themeColor="text1"/>
        </w:rPr>
        <w:t>requires them to avoid certain technologies</w:t>
      </w:r>
      <w:r w:rsidR="00410D64">
        <w:rPr>
          <w:color w:val="000000" w:themeColor="text1"/>
        </w:rPr>
        <w:t>,</w:t>
      </w:r>
      <w:r w:rsidR="00DF448A" w:rsidRPr="00082AED">
        <w:rPr>
          <w:color w:val="000000" w:themeColor="text1"/>
        </w:rPr>
        <w:t xml:space="preserve"> have even more reason to resist </w:t>
      </w:r>
      <w:r w:rsidRPr="00082AED">
        <w:rPr>
          <w:color w:val="000000" w:themeColor="text1"/>
        </w:rPr>
        <w:t xml:space="preserve">burdensome amounts of </w:t>
      </w:r>
      <w:r w:rsidR="00DF448A" w:rsidRPr="00082AED">
        <w:rPr>
          <w:color w:val="000000" w:themeColor="text1"/>
        </w:rPr>
        <w:t xml:space="preserve">regulation. </w:t>
      </w:r>
      <w:r w:rsidR="007577B1" w:rsidRPr="00082AED">
        <w:rPr>
          <w:color w:val="000000" w:themeColor="text1"/>
        </w:rPr>
        <w:t xml:space="preserve"> </w:t>
      </w:r>
      <w:r w:rsidR="00DF448A" w:rsidRPr="00082AED">
        <w:rPr>
          <w:color w:val="000000" w:themeColor="text1"/>
        </w:rPr>
        <w:t xml:space="preserve">While </w:t>
      </w:r>
      <w:r w:rsidR="00BF58B7" w:rsidRPr="00082AED">
        <w:rPr>
          <w:color w:val="000000" w:themeColor="text1"/>
        </w:rPr>
        <w:t xml:space="preserve">the </w:t>
      </w:r>
      <w:r w:rsidRPr="00082AED">
        <w:rPr>
          <w:color w:val="000000" w:themeColor="text1"/>
        </w:rPr>
        <w:t>Amish</w:t>
      </w:r>
      <w:r w:rsidR="00DF448A" w:rsidRPr="00082AED">
        <w:rPr>
          <w:color w:val="000000" w:themeColor="text1"/>
        </w:rPr>
        <w:t xml:space="preserve"> believe in </w:t>
      </w:r>
      <w:r w:rsidR="000C6AF2" w:rsidRPr="00082AED">
        <w:rPr>
          <w:color w:val="000000" w:themeColor="text1"/>
        </w:rPr>
        <w:t xml:space="preserve">preserving </w:t>
      </w:r>
      <w:r w:rsidR="00DF448A" w:rsidRPr="00082AED">
        <w:rPr>
          <w:color w:val="000000" w:themeColor="text1"/>
        </w:rPr>
        <w:t xml:space="preserve">the sanctity of God’s </w:t>
      </w:r>
      <w:r w:rsidR="009B5851" w:rsidRPr="00082AED">
        <w:rPr>
          <w:color w:val="000000" w:themeColor="text1"/>
        </w:rPr>
        <w:t xml:space="preserve">natural </w:t>
      </w:r>
      <w:r w:rsidR="00DF448A" w:rsidRPr="00082AED">
        <w:rPr>
          <w:color w:val="000000" w:themeColor="text1"/>
        </w:rPr>
        <w:t>creation, the rural Amish lifestyle is rooted in long-</w:t>
      </w:r>
      <w:r w:rsidR="00C6591A" w:rsidRPr="00082AED">
        <w:rPr>
          <w:color w:val="000000" w:themeColor="text1"/>
        </w:rPr>
        <w:t>held</w:t>
      </w:r>
      <w:r w:rsidR="00DF448A" w:rsidRPr="00082AED">
        <w:rPr>
          <w:color w:val="000000" w:themeColor="text1"/>
        </w:rPr>
        <w:t xml:space="preserve"> traditions and practices that </w:t>
      </w:r>
      <w:r w:rsidR="0048029A" w:rsidRPr="00082AED">
        <w:rPr>
          <w:color w:val="000000" w:themeColor="text1"/>
        </w:rPr>
        <w:t>specifically do not include</w:t>
      </w:r>
      <w:r w:rsidR="00DF448A" w:rsidRPr="00082AED">
        <w:rPr>
          <w:color w:val="000000" w:themeColor="text1"/>
        </w:rPr>
        <w:t xml:space="preserve"> hooking up to </w:t>
      </w:r>
      <w:r w:rsidR="00BF58B7" w:rsidRPr="00082AED">
        <w:rPr>
          <w:color w:val="000000" w:themeColor="text1"/>
        </w:rPr>
        <w:t xml:space="preserve">public utilities and </w:t>
      </w:r>
      <w:r w:rsidR="00DF448A" w:rsidRPr="00082AED">
        <w:rPr>
          <w:color w:val="000000" w:themeColor="text1"/>
        </w:rPr>
        <w:t xml:space="preserve">electric </w:t>
      </w:r>
      <w:r w:rsidR="000C6AF2" w:rsidRPr="00082AED">
        <w:rPr>
          <w:color w:val="000000" w:themeColor="text1"/>
        </w:rPr>
        <w:t>grinder</w:t>
      </w:r>
      <w:r w:rsidR="00BF58B7" w:rsidRPr="00082AED">
        <w:rPr>
          <w:color w:val="000000" w:themeColor="text1"/>
        </w:rPr>
        <w:t xml:space="preserve"> </w:t>
      </w:r>
      <w:r w:rsidR="00DF448A" w:rsidRPr="00082AED">
        <w:rPr>
          <w:color w:val="000000" w:themeColor="text1"/>
        </w:rPr>
        <w:t>pumps.</w:t>
      </w:r>
      <w:r w:rsidR="00E07729">
        <w:rPr>
          <w:color w:val="000000" w:themeColor="text1"/>
        </w:rPr>
        <w:t xml:space="preserve"> </w:t>
      </w:r>
    </w:p>
    <w:p w14:paraId="29397DF9" w14:textId="7C5FEDBC" w:rsidR="00DF448A" w:rsidRPr="00082AED" w:rsidRDefault="00DD4114" w:rsidP="00150C8D">
      <w:pPr>
        <w:pStyle w:val="NormalWeb"/>
        <w:spacing w:before="0" w:beforeAutospacing="0" w:after="0" w:afterAutospacing="0" w:line="480" w:lineRule="auto"/>
        <w:ind w:firstLine="360"/>
        <w:rPr>
          <w:color w:val="000000" w:themeColor="text1"/>
        </w:rPr>
      </w:pPr>
      <w:r>
        <w:rPr>
          <w:color w:val="000000" w:themeColor="text1"/>
        </w:rPr>
        <w:t>Rigid o</w:t>
      </w:r>
      <w:r w:rsidR="005A63E9" w:rsidRPr="00082AED">
        <w:rPr>
          <w:color w:val="000000" w:themeColor="text1"/>
        </w:rPr>
        <w:t xml:space="preserve">ver-regulation </w:t>
      </w:r>
      <w:r w:rsidR="00BF58B7" w:rsidRPr="00082AED">
        <w:rPr>
          <w:color w:val="000000" w:themeColor="text1"/>
        </w:rPr>
        <w:t xml:space="preserve">or failure to reach a solution </w:t>
      </w:r>
      <w:r w:rsidR="005A63E9" w:rsidRPr="00082AED">
        <w:rPr>
          <w:color w:val="000000" w:themeColor="text1"/>
        </w:rPr>
        <w:t>in these matters could well cause the “Pennsylvania Dutch” to leave Pennsylvania.</w:t>
      </w:r>
      <w:r w:rsidR="007577B1" w:rsidRPr="00082AED">
        <w:rPr>
          <w:color w:val="000000" w:themeColor="text1"/>
        </w:rPr>
        <w:t xml:space="preserve">  </w:t>
      </w:r>
      <w:r w:rsidR="00E324EE" w:rsidRPr="00082AED">
        <w:rPr>
          <w:color w:val="000000" w:themeColor="text1"/>
        </w:rPr>
        <w:t xml:space="preserve">As </w:t>
      </w:r>
      <w:r w:rsidR="00E55BA7" w:rsidRPr="00082AED">
        <w:rPr>
          <w:color w:val="000000" w:themeColor="text1"/>
        </w:rPr>
        <w:t>Mrs. Byler</w:t>
      </w:r>
      <w:r w:rsidR="00C9510E">
        <w:rPr>
          <w:color w:val="000000" w:themeColor="text1"/>
        </w:rPr>
        <w:t xml:space="preserve"> </w:t>
      </w:r>
      <w:r w:rsidR="00E324EE" w:rsidRPr="00082AED">
        <w:rPr>
          <w:color w:val="000000" w:themeColor="text1"/>
        </w:rPr>
        <w:t>stated, the Amish will</w:t>
      </w:r>
      <w:r w:rsidR="00AE5D89">
        <w:rPr>
          <w:color w:val="000000" w:themeColor="text1"/>
        </w:rPr>
        <w:t xml:space="preserve"> </w:t>
      </w:r>
      <w:r w:rsidR="00E324EE" w:rsidRPr="00082AED">
        <w:rPr>
          <w:color w:val="000000" w:themeColor="text1"/>
        </w:rPr>
        <w:t>“</w:t>
      </w:r>
      <w:r w:rsidR="00BF58B7" w:rsidRPr="00082AED">
        <w:rPr>
          <w:color w:val="000000" w:themeColor="text1"/>
        </w:rPr>
        <w:t xml:space="preserve">. . . </w:t>
      </w:r>
      <w:r w:rsidR="00E324EE" w:rsidRPr="00082AED">
        <w:rPr>
          <w:color w:val="000000" w:themeColor="text1"/>
        </w:rPr>
        <w:t xml:space="preserve">abandon their homes and move to another township in Pennsylvania or across the line into New York State rather than comply with the Sugar Grove Sewer Authority ordinance which mandates the </w:t>
      </w:r>
      <w:r w:rsidR="00E324EE" w:rsidRPr="00082AED">
        <w:rPr>
          <w:color w:val="000000" w:themeColor="text1"/>
        </w:rPr>
        <w:lastRenderedPageBreak/>
        <w:t>use of electricity and requires indoor plumbing and water under pressure to effectively operate the system.”</w:t>
      </w:r>
      <w:r w:rsidR="00E324EE" w:rsidRPr="00082AED">
        <w:rPr>
          <w:rStyle w:val="FootnoteReference"/>
          <w:color w:val="000000" w:themeColor="text1"/>
        </w:rPr>
        <w:footnoteReference w:id="139"/>
      </w:r>
      <w:r w:rsidR="007577B1" w:rsidRPr="00082AED">
        <w:rPr>
          <w:color w:val="000000" w:themeColor="text1"/>
        </w:rPr>
        <w:t xml:space="preserve">  </w:t>
      </w:r>
      <w:r w:rsidR="000B2069">
        <w:rPr>
          <w:color w:val="000000" w:themeColor="text1"/>
        </w:rPr>
        <w:t xml:space="preserve">The right to freely practice their religion is </w:t>
      </w:r>
      <w:r w:rsidR="00DD450D">
        <w:rPr>
          <w:color w:val="000000" w:themeColor="text1"/>
        </w:rPr>
        <w:t xml:space="preserve">so </w:t>
      </w:r>
      <w:r w:rsidR="000B2069">
        <w:rPr>
          <w:color w:val="000000" w:themeColor="text1"/>
        </w:rPr>
        <w:t>profoundly important to the Amish people</w:t>
      </w:r>
      <w:r w:rsidR="00DD450D">
        <w:rPr>
          <w:color w:val="000000" w:themeColor="text1"/>
        </w:rPr>
        <w:t>, t</w:t>
      </w:r>
      <w:r w:rsidR="000B2069">
        <w:rPr>
          <w:color w:val="000000" w:themeColor="text1"/>
        </w:rPr>
        <w:t>hey will leave rather than compromise their beliefs.</w:t>
      </w:r>
    </w:p>
    <w:p w14:paraId="4E864218" w14:textId="75A61E58" w:rsidR="0006320F" w:rsidRDefault="0071722E" w:rsidP="00150C8D">
      <w:pPr>
        <w:pStyle w:val="NormalWeb"/>
        <w:spacing w:before="0" w:beforeAutospacing="0" w:after="0" w:afterAutospacing="0" w:line="480" w:lineRule="auto"/>
        <w:ind w:firstLine="360"/>
        <w:rPr>
          <w:color w:val="000000" w:themeColor="text1"/>
        </w:rPr>
      </w:pPr>
      <w:r w:rsidRPr="00082AED">
        <w:rPr>
          <w:color w:val="000000" w:themeColor="text1"/>
        </w:rPr>
        <w:t>In</w:t>
      </w:r>
      <w:r w:rsidR="00AA6202" w:rsidRPr="00082AED">
        <w:rPr>
          <w:color w:val="000000" w:themeColor="text1"/>
        </w:rPr>
        <w:t xml:space="preserve"> </w:t>
      </w:r>
      <w:r w:rsidRPr="00082AED">
        <w:rPr>
          <w:i/>
          <w:color w:val="000000" w:themeColor="text1"/>
        </w:rPr>
        <w:t>Sugar Grove T</w:t>
      </w:r>
      <w:r w:rsidR="00C71E52" w:rsidRPr="00082AED">
        <w:rPr>
          <w:i/>
          <w:color w:val="000000" w:themeColor="text1"/>
        </w:rPr>
        <w:t xml:space="preserve">ownship </w:t>
      </w:r>
      <w:r w:rsidRPr="00082AED">
        <w:rPr>
          <w:i/>
          <w:color w:val="000000" w:themeColor="text1"/>
        </w:rPr>
        <w:t>v. Byler</w:t>
      </w:r>
      <w:r w:rsidR="00AA6202" w:rsidRPr="00082AED">
        <w:rPr>
          <w:color w:val="000000" w:themeColor="text1"/>
        </w:rPr>
        <w:t>,</w:t>
      </w:r>
      <w:r w:rsidR="0042577D" w:rsidRPr="00082AED">
        <w:rPr>
          <w:color w:val="000000" w:themeColor="text1"/>
        </w:rPr>
        <w:t xml:space="preserve"> the</w:t>
      </w:r>
      <w:r w:rsidR="00AA6202" w:rsidRPr="00082AED">
        <w:rPr>
          <w:color w:val="000000" w:themeColor="text1"/>
        </w:rPr>
        <w:t xml:space="preserve"> Commonwealth Court </w:t>
      </w:r>
      <w:r w:rsidR="00DD4114">
        <w:rPr>
          <w:color w:val="000000" w:themeColor="text1"/>
        </w:rPr>
        <w:t>effectively balanced the competing interests</w:t>
      </w:r>
      <w:r w:rsidR="00DD450D">
        <w:rPr>
          <w:color w:val="000000" w:themeColor="text1"/>
        </w:rPr>
        <w:t xml:space="preserve"> of the Township and Mrs. Byler</w:t>
      </w:r>
      <w:r w:rsidR="00DD4114">
        <w:rPr>
          <w:color w:val="000000" w:themeColor="text1"/>
        </w:rPr>
        <w:t xml:space="preserve">, while </w:t>
      </w:r>
      <w:r w:rsidR="0018238B" w:rsidRPr="00082AED">
        <w:rPr>
          <w:color w:val="000000" w:themeColor="text1"/>
        </w:rPr>
        <w:t>a</w:t>
      </w:r>
      <w:r w:rsidR="00AA6202" w:rsidRPr="00082AED">
        <w:rPr>
          <w:color w:val="000000" w:themeColor="text1"/>
        </w:rPr>
        <w:t>dhe</w:t>
      </w:r>
      <w:r w:rsidR="00846C41" w:rsidRPr="00082AED">
        <w:rPr>
          <w:color w:val="000000" w:themeColor="text1"/>
        </w:rPr>
        <w:t>r</w:t>
      </w:r>
      <w:r w:rsidR="00DD4114">
        <w:rPr>
          <w:color w:val="000000" w:themeColor="text1"/>
        </w:rPr>
        <w:t>ing</w:t>
      </w:r>
      <w:r w:rsidR="00AA6202" w:rsidRPr="00082AED">
        <w:rPr>
          <w:color w:val="000000" w:themeColor="text1"/>
        </w:rPr>
        <w:t xml:space="preserve"> to its responsibility to protect the Pennsylvania Constitution</w:t>
      </w:r>
      <w:r w:rsidR="000C6AF2" w:rsidRPr="00082AED">
        <w:rPr>
          <w:color w:val="000000" w:themeColor="text1"/>
        </w:rPr>
        <w:t>.</w:t>
      </w:r>
      <w:r w:rsidR="00DD450D">
        <w:rPr>
          <w:color w:val="000000" w:themeColor="text1"/>
        </w:rPr>
        <w:t xml:space="preserve">  </w:t>
      </w:r>
      <w:r w:rsidR="000C6AF2" w:rsidRPr="00082AED">
        <w:rPr>
          <w:color w:val="000000" w:themeColor="text1"/>
        </w:rPr>
        <w:t xml:space="preserve">The Court was mindful of </w:t>
      </w:r>
      <w:r w:rsidR="00AA6202" w:rsidRPr="00082AED">
        <w:rPr>
          <w:color w:val="000000" w:themeColor="text1"/>
        </w:rPr>
        <w:t xml:space="preserve">state and local </w:t>
      </w:r>
      <w:r w:rsidR="000C6AF2" w:rsidRPr="00082AED">
        <w:rPr>
          <w:color w:val="000000" w:themeColor="text1"/>
        </w:rPr>
        <w:t xml:space="preserve">environmental </w:t>
      </w:r>
      <w:r w:rsidR="00AA6202" w:rsidRPr="00082AED">
        <w:rPr>
          <w:color w:val="000000" w:themeColor="text1"/>
        </w:rPr>
        <w:t>laws</w:t>
      </w:r>
      <w:r w:rsidR="0048029A" w:rsidRPr="00082AED">
        <w:rPr>
          <w:color w:val="000000" w:themeColor="text1"/>
        </w:rPr>
        <w:t xml:space="preserve"> while</w:t>
      </w:r>
      <w:r w:rsidR="000E5C77" w:rsidRPr="00082AED">
        <w:rPr>
          <w:color w:val="000000" w:themeColor="text1"/>
        </w:rPr>
        <w:t xml:space="preserve"> seeking a</w:t>
      </w:r>
      <w:r w:rsidR="00D268D9">
        <w:rPr>
          <w:color w:val="000000" w:themeColor="text1"/>
        </w:rPr>
        <w:t xml:space="preserve"> viable</w:t>
      </w:r>
      <w:r w:rsidR="000E5C77" w:rsidRPr="00082AED">
        <w:rPr>
          <w:color w:val="000000" w:themeColor="text1"/>
        </w:rPr>
        <w:t xml:space="preserve"> solution</w:t>
      </w:r>
      <w:r w:rsidR="000C6AF2" w:rsidRPr="00082AED">
        <w:rPr>
          <w:color w:val="000000" w:themeColor="text1"/>
        </w:rPr>
        <w:t xml:space="preserve"> that did not involve </w:t>
      </w:r>
      <w:r w:rsidR="009B5851" w:rsidRPr="00082AED">
        <w:rPr>
          <w:color w:val="000000" w:themeColor="text1"/>
        </w:rPr>
        <w:t xml:space="preserve">wholesale </w:t>
      </w:r>
      <w:r w:rsidR="00AA6202" w:rsidRPr="00082AED">
        <w:rPr>
          <w:color w:val="000000" w:themeColor="text1"/>
        </w:rPr>
        <w:t>trampl</w:t>
      </w:r>
      <w:r w:rsidRPr="00082AED">
        <w:rPr>
          <w:color w:val="000000" w:themeColor="text1"/>
        </w:rPr>
        <w:t>ing</w:t>
      </w:r>
      <w:r w:rsidR="00AA6202" w:rsidRPr="00082AED">
        <w:rPr>
          <w:color w:val="000000" w:themeColor="text1"/>
        </w:rPr>
        <w:t xml:space="preserve"> </w:t>
      </w:r>
      <w:r w:rsidR="009B5851" w:rsidRPr="00082AED">
        <w:rPr>
          <w:color w:val="000000" w:themeColor="text1"/>
        </w:rPr>
        <w:t xml:space="preserve">of </w:t>
      </w:r>
      <w:r w:rsidR="00AA6202" w:rsidRPr="00082AED">
        <w:rPr>
          <w:color w:val="000000" w:themeColor="text1"/>
        </w:rPr>
        <w:t xml:space="preserve">the deep religious beliefs of a </w:t>
      </w:r>
      <w:r w:rsidR="00B86CD9" w:rsidRPr="00082AED">
        <w:rPr>
          <w:color w:val="000000" w:themeColor="text1"/>
        </w:rPr>
        <w:t xml:space="preserve">devout </w:t>
      </w:r>
      <w:r w:rsidR="0048029A" w:rsidRPr="00082AED">
        <w:rPr>
          <w:color w:val="000000" w:themeColor="text1"/>
        </w:rPr>
        <w:t xml:space="preserve">Amish </w:t>
      </w:r>
      <w:r w:rsidR="00AA6202" w:rsidRPr="00082AED">
        <w:rPr>
          <w:color w:val="000000" w:themeColor="text1"/>
        </w:rPr>
        <w:t>widow and her children.</w:t>
      </w:r>
      <w:r w:rsidR="0006320F">
        <w:rPr>
          <w:color w:val="000000" w:themeColor="text1"/>
        </w:rPr>
        <w:t xml:space="preserve"> </w:t>
      </w:r>
    </w:p>
    <w:p w14:paraId="235C57AB" w14:textId="35DCDEB1" w:rsidR="00AA6202" w:rsidRDefault="0006320F" w:rsidP="005A66B9">
      <w:pPr>
        <w:pStyle w:val="NormalWeb"/>
        <w:spacing w:before="0" w:beforeAutospacing="0" w:after="0" w:afterAutospacing="0" w:line="480" w:lineRule="auto"/>
        <w:ind w:firstLine="360"/>
        <w:rPr>
          <w:color w:val="000000" w:themeColor="text1"/>
        </w:rPr>
      </w:pPr>
      <w:r>
        <w:rPr>
          <w:color w:val="000000" w:themeColor="text1"/>
        </w:rPr>
        <w:t>The Court properly recognized that the case was about purported violations of the Sugar Grove Township Privy Ordinance by Mrs. Byler, and not directly about connecting to the Sugar Grove Township sewer system.</w:t>
      </w:r>
      <w:r>
        <w:rPr>
          <w:rStyle w:val="FootnoteReference"/>
          <w:color w:val="000000" w:themeColor="text1"/>
        </w:rPr>
        <w:footnoteReference w:id="140"/>
      </w:r>
      <w:r w:rsidR="00E448D0">
        <w:rPr>
          <w:color w:val="000000" w:themeColor="text1"/>
        </w:rPr>
        <w:t xml:space="preserve"> T</w:t>
      </w:r>
      <w:r w:rsidR="007E2B76">
        <w:rPr>
          <w:color w:val="000000" w:themeColor="text1"/>
        </w:rPr>
        <w:t>he Court</w:t>
      </w:r>
      <w:r w:rsidR="00951CF6">
        <w:rPr>
          <w:color w:val="000000" w:themeColor="text1"/>
        </w:rPr>
        <w:t xml:space="preserve"> showed awareness of Mrs. Byler’s rights in its </w:t>
      </w:r>
      <w:r w:rsidR="005A66B9">
        <w:rPr>
          <w:color w:val="000000" w:themeColor="text1"/>
        </w:rPr>
        <w:t xml:space="preserve">careful </w:t>
      </w:r>
      <w:r w:rsidR="007E2B76">
        <w:rPr>
          <w:color w:val="000000" w:themeColor="text1"/>
        </w:rPr>
        <w:t xml:space="preserve">finding that her privy was not subject to the Privy Ordinance, </w:t>
      </w:r>
      <w:r w:rsidR="00951CF6">
        <w:rPr>
          <w:color w:val="000000" w:themeColor="text1"/>
        </w:rPr>
        <w:t xml:space="preserve">thus </w:t>
      </w:r>
      <w:r w:rsidR="00E448D0">
        <w:rPr>
          <w:color w:val="000000" w:themeColor="text1"/>
        </w:rPr>
        <w:t>allow</w:t>
      </w:r>
      <w:r w:rsidR="00951CF6">
        <w:rPr>
          <w:color w:val="000000" w:themeColor="text1"/>
        </w:rPr>
        <w:t>ing</w:t>
      </w:r>
      <w:r w:rsidR="00E448D0">
        <w:rPr>
          <w:color w:val="000000" w:themeColor="text1"/>
        </w:rPr>
        <w:t xml:space="preserve"> </w:t>
      </w:r>
      <w:r w:rsidR="007E2B76">
        <w:rPr>
          <w:color w:val="000000" w:themeColor="text1"/>
        </w:rPr>
        <w:t xml:space="preserve">this part of the trial court holding </w:t>
      </w:r>
      <w:r w:rsidR="00951CF6">
        <w:rPr>
          <w:color w:val="000000" w:themeColor="text1"/>
        </w:rPr>
        <w:t xml:space="preserve">against her </w:t>
      </w:r>
      <w:r w:rsidR="00E448D0">
        <w:rPr>
          <w:color w:val="000000" w:themeColor="text1"/>
        </w:rPr>
        <w:t>to be</w:t>
      </w:r>
      <w:r w:rsidR="007E2B76">
        <w:rPr>
          <w:color w:val="000000" w:themeColor="text1"/>
        </w:rPr>
        <w:t xml:space="preserve"> reversed</w:t>
      </w:r>
      <w:r w:rsidR="00E448D0">
        <w:rPr>
          <w:color w:val="000000" w:themeColor="text1"/>
        </w:rPr>
        <w:t>. T</w:t>
      </w:r>
      <w:r w:rsidR="007E2B76">
        <w:rPr>
          <w:color w:val="000000" w:themeColor="text1"/>
        </w:rPr>
        <w:t xml:space="preserve">he </w:t>
      </w:r>
      <w:r w:rsidR="00951CF6">
        <w:rPr>
          <w:color w:val="000000" w:themeColor="text1"/>
        </w:rPr>
        <w:t xml:space="preserve">Court was equally attentive when it found </w:t>
      </w:r>
      <w:r w:rsidR="00951CF6">
        <w:rPr>
          <w:color w:val="000000" w:themeColor="text1"/>
        </w:rPr>
        <w:t>the $100 monthly payment</w:t>
      </w:r>
      <w:r w:rsidR="005A66B9">
        <w:rPr>
          <w:color w:val="000000" w:themeColor="text1"/>
        </w:rPr>
        <w:t xml:space="preserve"> was relief the Township had not requested. </w:t>
      </w:r>
      <w:r w:rsidR="00335DF0">
        <w:rPr>
          <w:color w:val="000000" w:themeColor="text1"/>
        </w:rPr>
        <w:t>With</w:t>
      </w:r>
      <w:r w:rsidR="005A66B9">
        <w:rPr>
          <w:color w:val="000000" w:themeColor="text1"/>
        </w:rPr>
        <w:t xml:space="preserve"> some issues remai</w:t>
      </w:r>
      <w:r w:rsidR="00335DF0">
        <w:rPr>
          <w:color w:val="000000" w:themeColor="text1"/>
        </w:rPr>
        <w:t>ning</w:t>
      </w:r>
      <w:r w:rsidR="005A66B9">
        <w:rPr>
          <w:color w:val="000000" w:themeColor="text1"/>
        </w:rPr>
        <w:t xml:space="preserve">, the Court </w:t>
      </w:r>
      <w:r w:rsidR="007E2B76">
        <w:rPr>
          <w:color w:val="000000" w:themeColor="text1"/>
        </w:rPr>
        <w:t xml:space="preserve">wisely remanded </w:t>
      </w:r>
      <w:r w:rsidR="005A66B9">
        <w:rPr>
          <w:color w:val="000000" w:themeColor="text1"/>
        </w:rPr>
        <w:t xml:space="preserve">the case to the trial court </w:t>
      </w:r>
      <w:r w:rsidR="00335DF0">
        <w:rPr>
          <w:color w:val="000000" w:themeColor="text1"/>
        </w:rPr>
        <w:t>under</w:t>
      </w:r>
      <w:r w:rsidR="005A66B9">
        <w:rPr>
          <w:color w:val="000000" w:themeColor="text1"/>
        </w:rPr>
        <w:t xml:space="preserve"> specific instructions that any new opinion must consider the religious freedom protections of the First Amendment; Article I, Section 3 of the Pennsylvania Constitution; and the state’s Religious Freedom Protection Act. </w:t>
      </w:r>
    </w:p>
    <w:p w14:paraId="6A474CDA" w14:textId="495E1A43" w:rsidR="005A66B9" w:rsidRPr="005A66B9" w:rsidRDefault="005A66B9" w:rsidP="005A66B9">
      <w:pPr>
        <w:pStyle w:val="NormalWeb"/>
        <w:spacing w:before="0" w:beforeAutospacing="0" w:after="0" w:afterAutospacing="0" w:line="480" w:lineRule="auto"/>
        <w:ind w:firstLine="360"/>
        <w:rPr>
          <w:color w:val="000000" w:themeColor="text1"/>
        </w:rPr>
      </w:pPr>
      <w:r>
        <w:rPr>
          <w:i/>
          <w:iCs/>
          <w:color w:val="000000" w:themeColor="text1"/>
        </w:rPr>
        <w:t>Sugar Grove Township v. Byler</w:t>
      </w:r>
      <w:r>
        <w:rPr>
          <w:color w:val="000000" w:themeColor="text1"/>
        </w:rPr>
        <w:t xml:space="preserve"> </w:t>
      </w:r>
      <w:r w:rsidR="00951CF6">
        <w:rPr>
          <w:color w:val="000000" w:themeColor="text1"/>
        </w:rPr>
        <w:t>wa</w:t>
      </w:r>
      <w:r>
        <w:rPr>
          <w:color w:val="000000" w:themeColor="text1"/>
        </w:rPr>
        <w:t xml:space="preserve">s not a landmark case but it did send a signal </w:t>
      </w:r>
      <w:r w:rsidR="00951CF6">
        <w:rPr>
          <w:color w:val="000000" w:themeColor="text1"/>
        </w:rPr>
        <w:t xml:space="preserve">throughout Pennsylvania </w:t>
      </w:r>
      <w:r w:rsidR="00335DF0">
        <w:rPr>
          <w:color w:val="000000" w:themeColor="text1"/>
        </w:rPr>
        <w:t xml:space="preserve">that strict scrutiny should be very thoroughly applied to cases where the right to freely practice religion is involved, even if another important right is in conflict. </w:t>
      </w:r>
      <w:r w:rsidR="00951CF6">
        <w:rPr>
          <w:color w:val="000000" w:themeColor="text1"/>
        </w:rPr>
        <w:t xml:space="preserve">There </w:t>
      </w:r>
      <w:r w:rsidR="00895BB3">
        <w:rPr>
          <w:color w:val="000000" w:themeColor="text1"/>
        </w:rPr>
        <w:t>seemed to be</w:t>
      </w:r>
      <w:r w:rsidR="00951CF6">
        <w:rPr>
          <w:color w:val="000000" w:themeColor="text1"/>
        </w:rPr>
        <w:t xml:space="preserve"> a</w:t>
      </w:r>
      <w:r w:rsidR="00895BB3">
        <w:rPr>
          <w:color w:val="000000" w:themeColor="text1"/>
        </w:rPr>
        <w:t xml:space="preserve"> </w:t>
      </w:r>
      <w:r w:rsidR="00951CF6">
        <w:rPr>
          <w:color w:val="000000" w:themeColor="text1"/>
        </w:rPr>
        <w:t xml:space="preserve">message that local municipalities </w:t>
      </w:r>
      <w:r w:rsidR="00694982">
        <w:rPr>
          <w:color w:val="000000" w:themeColor="text1"/>
        </w:rPr>
        <w:t xml:space="preserve">and county courts </w:t>
      </w:r>
      <w:r w:rsidR="00951CF6">
        <w:rPr>
          <w:color w:val="000000" w:themeColor="text1"/>
        </w:rPr>
        <w:t xml:space="preserve">should </w:t>
      </w:r>
      <w:r w:rsidR="00694982">
        <w:rPr>
          <w:color w:val="000000" w:themeColor="text1"/>
        </w:rPr>
        <w:t xml:space="preserve">proceed with great care </w:t>
      </w:r>
      <w:r w:rsidR="00895BB3">
        <w:rPr>
          <w:color w:val="000000" w:themeColor="text1"/>
        </w:rPr>
        <w:t>when</w:t>
      </w:r>
      <w:r w:rsidR="00951CF6">
        <w:rPr>
          <w:color w:val="000000" w:themeColor="text1"/>
        </w:rPr>
        <w:t xml:space="preserve"> </w:t>
      </w:r>
      <w:r w:rsidR="00951CF6">
        <w:rPr>
          <w:color w:val="000000" w:themeColor="text1"/>
        </w:rPr>
        <w:lastRenderedPageBreak/>
        <w:t xml:space="preserve">regulations may burden </w:t>
      </w:r>
      <w:r w:rsidR="00694982">
        <w:rPr>
          <w:color w:val="000000" w:themeColor="text1"/>
        </w:rPr>
        <w:t>Amish</w:t>
      </w:r>
      <w:r w:rsidR="00951CF6">
        <w:rPr>
          <w:color w:val="000000" w:themeColor="text1"/>
        </w:rPr>
        <w:t xml:space="preserve"> religious rights. </w:t>
      </w:r>
      <w:r w:rsidR="00335DF0">
        <w:rPr>
          <w:color w:val="000000" w:themeColor="text1"/>
        </w:rPr>
        <w:t xml:space="preserve">It is likely that municipalities and </w:t>
      </w:r>
      <w:r w:rsidR="00951CF6">
        <w:rPr>
          <w:color w:val="000000" w:themeColor="text1"/>
        </w:rPr>
        <w:t xml:space="preserve">counties </w:t>
      </w:r>
      <w:r w:rsidR="00335DF0">
        <w:rPr>
          <w:color w:val="000000" w:themeColor="text1"/>
        </w:rPr>
        <w:t>will take notice and perhaps increase efforts to work out non-judicial solutions where Amish landowners are not in compliance with local environmental ordinances and codes.</w:t>
      </w:r>
    </w:p>
    <w:p w14:paraId="60A7FE5F" w14:textId="667BB4F4" w:rsidR="005F1EEB" w:rsidRPr="00082AED" w:rsidRDefault="005F1EEB" w:rsidP="00150C8D">
      <w:pPr>
        <w:pStyle w:val="ListParagraph"/>
        <w:numPr>
          <w:ilvl w:val="0"/>
          <w:numId w:val="4"/>
        </w:numPr>
        <w:spacing w:line="480" w:lineRule="auto"/>
        <w:ind w:left="0"/>
        <w:jc w:val="center"/>
        <w:rPr>
          <w:b/>
          <w:color w:val="000000" w:themeColor="text1"/>
        </w:rPr>
      </w:pPr>
      <w:r w:rsidRPr="00082AED">
        <w:rPr>
          <w:b/>
          <w:color w:val="000000" w:themeColor="text1"/>
        </w:rPr>
        <w:t>Conclusion</w:t>
      </w:r>
    </w:p>
    <w:p w14:paraId="4605580F" w14:textId="694166AB" w:rsidR="000A3081" w:rsidRDefault="00E343F6" w:rsidP="00150C8D">
      <w:pPr>
        <w:spacing w:line="480" w:lineRule="auto"/>
        <w:ind w:firstLine="360"/>
        <w:rPr>
          <w:color w:val="000000" w:themeColor="text1"/>
        </w:rPr>
      </w:pPr>
      <w:r w:rsidRPr="00082AED">
        <w:rPr>
          <w:color w:val="000000" w:themeColor="text1"/>
        </w:rPr>
        <w:t>Pennsylvania</w:t>
      </w:r>
      <w:r w:rsidR="005F1EEB" w:rsidRPr="00082AED">
        <w:rPr>
          <w:color w:val="000000" w:themeColor="text1"/>
        </w:rPr>
        <w:t xml:space="preserve"> is one of the last large northeastern states </w:t>
      </w:r>
      <w:r w:rsidR="00BB2DCE">
        <w:rPr>
          <w:color w:val="000000" w:themeColor="text1"/>
        </w:rPr>
        <w:t>to have</w:t>
      </w:r>
      <w:r w:rsidR="005F1EEB" w:rsidRPr="00082AED">
        <w:rPr>
          <w:color w:val="000000" w:themeColor="text1"/>
        </w:rPr>
        <w:t xml:space="preserve"> abundant open space</w:t>
      </w:r>
      <w:r w:rsidR="00BB2DCE">
        <w:rPr>
          <w:color w:val="000000" w:themeColor="text1"/>
        </w:rPr>
        <w:t xml:space="preserve"> remaining</w:t>
      </w:r>
      <w:r w:rsidR="005F1EEB" w:rsidRPr="00082AED">
        <w:rPr>
          <w:color w:val="000000" w:themeColor="text1"/>
        </w:rPr>
        <w:t>, but as more areas become developed</w:t>
      </w:r>
      <w:r w:rsidR="003342A8" w:rsidRPr="00082AED">
        <w:rPr>
          <w:color w:val="000000" w:themeColor="text1"/>
        </w:rPr>
        <w:t>,</w:t>
      </w:r>
      <w:r w:rsidR="005F1EEB" w:rsidRPr="00082AED">
        <w:rPr>
          <w:color w:val="000000" w:themeColor="text1"/>
        </w:rPr>
        <w:t xml:space="preserve"> competing interests are arising. </w:t>
      </w:r>
      <w:r w:rsidRPr="00082AED">
        <w:rPr>
          <w:color w:val="000000" w:themeColor="text1"/>
        </w:rPr>
        <w:t xml:space="preserve"> </w:t>
      </w:r>
      <w:r w:rsidR="00087783">
        <w:rPr>
          <w:color w:val="000000" w:themeColor="text1"/>
        </w:rPr>
        <w:t>P</w:t>
      </w:r>
      <w:r w:rsidR="00FB6314" w:rsidRPr="00082AED">
        <w:rPr>
          <w:color w:val="000000" w:themeColor="text1"/>
        </w:rPr>
        <w:t xml:space="preserve">eople are attracted to the </w:t>
      </w:r>
      <w:r w:rsidR="0018238B" w:rsidRPr="00082AED">
        <w:rPr>
          <w:color w:val="000000" w:themeColor="text1"/>
        </w:rPr>
        <w:t>state</w:t>
      </w:r>
      <w:r w:rsidR="00FB6314" w:rsidRPr="00082AED">
        <w:rPr>
          <w:color w:val="000000" w:themeColor="text1"/>
        </w:rPr>
        <w:t xml:space="preserve"> as a good place to live or visit because of its natural beauty and cultural diversity. </w:t>
      </w:r>
      <w:r w:rsidR="00087783">
        <w:rPr>
          <w:color w:val="000000" w:themeColor="text1"/>
        </w:rPr>
        <w:t xml:space="preserve">But </w:t>
      </w:r>
      <w:r w:rsidR="00745BC3" w:rsidRPr="00082AED">
        <w:rPr>
          <w:color w:val="000000" w:themeColor="text1"/>
        </w:rPr>
        <w:t>Pennsylvania’s natural resources</w:t>
      </w:r>
      <w:r w:rsidR="00FB6314" w:rsidRPr="00082AED">
        <w:rPr>
          <w:color w:val="000000" w:themeColor="text1"/>
        </w:rPr>
        <w:t xml:space="preserve"> are </w:t>
      </w:r>
      <w:r w:rsidR="00087783">
        <w:rPr>
          <w:color w:val="000000" w:themeColor="text1"/>
        </w:rPr>
        <w:t xml:space="preserve">also </w:t>
      </w:r>
      <w:r w:rsidR="00FB6314" w:rsidRPr="00082AED">
        <w:rPr>
          <w:color w:val="000000" w:themeColor="text1"/>
        </w:rPr>
        <w:t>leading to new</w:t>
      </w:r>
      <w:r w:rsidR="00161D54" w:rsidRPr="00082AED">
        <w:rPr>
          <w:color w:val="000000" w:themeColor="text1"/>
        </w:rPr>
        <w:t xml:space="preserve"> </w:t>
      </w:r>
      <w:r w:rsidR="000A3081">
        <w:rPr>
          <w:color w:val="000000" w:themeColor="text1"/>
        </w:rPr>
        <w:t xml:space="preserve">economic activity and </w:t>
      </w:r>
      <w:r w:rsidR="00161D54" w:rsidRPr="00082AED">
        <w:rPr>
          <w:color w:val="000000" w:themeColor="text1"/>
        </w:rPr>
        <w:t>heavy</w:t>
      </w:r>
      <w:r w:rsidR="00FB6314" w:rsidRPr="00082AED">
        <w:rPr>
          <w:color w:val="000000" w:themeColor="text1"/>
        </w:rPr>
        <w:t xml:space="preserve"> industr</w:t>
      </w:r>
      <w:r w:rsidR="003342A8" w:rsidRPr="00082AED">
        <w:rPr>
          <w:color w:val="000000" w:themeColor="text1"/>
        </w:rPr>
        <w:t>y</w:t>
      </w:r>
      <w:r w:rsidR="00745BC3" w:rsidRPr="00082AED">
        <w:rPr>
          <w:color w:val="000000" w:themeColor="text1"/>
        </w:rPr>
        <w:t xml:space="preserve">, including ongoing potential for natural gas development and other energy production. </w:t>
      </w:r>
    </w:p>
    <w:p w14:paraId="7DA3580A" w14:textId="5C793AB6" w:rsidR="00FB6314" w:rsidRPr="00082AED" w:rsidRDefault="00FB6314" w:rsidP="00150C8D">
      <w:pPr>
        <w:spacing w:line="480" w:lineRule="auto"/>
        <w:ind w:firstLine="360"/>
        <w:rPr>
          <w:color w:val="000000" w:themeColor="text1"/>
        </w:rPr>
      </w:pPr>
      <w:r w:rsidRPr="00082AED">
        <w:rPr>
          <w:color w:val="000000" w:themeColor="text1"/>
        </w:rPr>
        <w:t xml:space="preserve">Somewhere in the middle lies Pennsylvania’s </w:t>
      </w:r>
      <w:r w:rsidR="000A3081">
        <w:rPr>
          <w:color w:val="000000" w:themeColor="text1"/>
        </w:rPr>
        <w:t>agricultural</w:t>
      </w:r>
      <w:r w:rsidRPr="00082AED">
        <w:rPr>
          <w:color w:val="000000" w:themeColor="text1"/>
        </w:rPr>
        <w:t xml:space="preserve"> </w:t>
      </w:r>
      <w:r w:rsidR="00087783">
        <w:rPr>
          <w:color w:val="000000" w:themeColor="text1"/>
        </w:rPr>
        <w:t>sector</w:t>
      </w:r>
      <w:r w:rsidR="008511C7" w:rsidRPr="00082AED">
        <w:rPr>
          <w:color w:val="000000" w:themeColor="text1"/>
        </w:rPr>
        <w:t xml:space="preserve">. </w:t>
      </w:r>
      <w:r w:rsidR="000A3081">
        <w:rPr>
          <w:color w:val="000000" w:themeColor="text1"/>
        </w:rPr>
        <w:t>Although</w:t>
      </w:r>
      <w:r w:rsidR="008511C7" w:rsidRPr="00082AED">
        <w:rPr>
          <w:color w:val="000000" w:themeColor="text1"/>
        </w:rPr>
        <w:t xml:space="preserve"> </w:t>
      </w:r>
      <w:r w:rsidR="00951CF6">
        <w:rPr>
          <w:color w:val="000000" w:themeColor="text1"/>
        </w:rPr>
        <w:t xml:space="preserve">it is </w:t>
      </w:r>
      <w:r w:rsidRPr="00082AED">
        <w:rPr>
          <w:color w:val="000000" w:themeColor="text1"/>
        </w:rPr>
        <w:t xml:space="preserve">an economic engine that adds billions </w:t>
      </w:r>
      <w:r w:rsidR="00605351" w:rsidRPr="00082AED">
        <w:rPr>
          <w:color w:val="000000" w:themeColor="text1"/>
        </w:rPr>
        <w:t xml:space="preserve">of dollars </w:t>
      </w:r>
      <w:r w:rsidRPr="00082AED">
        <w:rPr>
          <w:color w:val="000000" w:themeColor="text1"/>
        </w:rPr>
        <w:t xml:space="preserve">to </w:t>
      </w:r>
      <w:r w:rsidR="00605351" w:rsidRPr="00082AED">
        <w:rPr>
          <w:color w:val="000000" w:themeColor="text1"/>
        </w:rPr>
        <w:t>the state’s</w:t>
      </w:r>
      <w:r w:rsidRPr="00082AED">
        <w:rPr>
          <w:color w:val="000000" w:themeColor="text1"/>
        </w:rPr>
        <w:t xml:space="preserve"> economy</w:t>
      </w:r>
      <w:r w:rsidR="000A3081">
        <w:rPr>
          <w:color w:val="000000" w:themeColor="text1"/>
        </w:rPr>
        <w:t>,</w:t>
      </w:r>
      <w:r w:rsidRPr="00082AED">
        <w:rPr>
          <w:color w:val="000000" w:themeColor="text1"/>
        </w:rPr>
        <w:t xml:space="preserve"> </w:t>
      </w:r>
      <w:r w:rsidR="000A3081">
        <w:rPr>
          <w:color w:val="000000" w:themeColor="text1"/>
        </w:rPr>
        <w:t>farming</w:t>
      </w:r>
      <w:r w:rsidRPr="00082AED">
        <w:rPr>
          <w:color w:val="000000" w:themeColor="text1"/>
        </w:rPr>
        <w:t xml:space="preserve"> </w:t>
      </w:r>
      <w:r w:rsidR="000A3081">
        <w:rPr>
          <w:color w:val="000000" w:themeColor="text1"/>
        </w:rPr>
        <w:t xml:space="preserve">also </w:t>
      </w:r>
      <w:r w:rsidRPr="00082AED">
        <w:rPr>
          <w:color w:val="000000" w:themeColor="text1"/>
        </w:rPr>
        <w:t>maintain</w:t>
      </w:r>
      <w:r w:rsidR="000A3081">
        <w:rPr>
          <w:color w:val="000000" w:themeColor="text1"/>
        </w:rPr>
        <w:t>s</w:t>
      </w:r>
      <w:r w:rsidRPr="00082AED">
        <w:rPr>
          <w:color w:val="000000" w:themeColor="text1"/>
        </w:rPr>
        <w:t xml:space="preserve"> open space and </w:t>
      </w:r>
      <w:r w:rsidR="008511C7" w:rsidRPr="00082AED">
        <w:rPr>
          <w:color w:val="000000" w:themeColor="text1"/>
        </w:rPr>
        <w:t>support</w:t>
      </w:r>
      <w:r w:rsidR="000A3081">
        <w:rPr>
          <w:color w:val="000000" w:themeColor="text1"/>
        </w:rPr>
        <w:t>s</w:t>
      </w:r>
      <w:r w:rsidR="008511C7" w:rsidRPr="00082AED">
        <w:rPr>
          <w:color w:val="000000" w:themeColor="text1"/>
        </w:rPr>
        <w:t xml:space="preserve"> </w:t>
      </w:r>
      <w:r w:rsidR="005F1EEB" w:rsidRPr="00082AED">
        <w:rPr>
          <w:color w:val="000000" w:themeColor="text1"/>
        </w:rPr>
        <w:t xml:space="preserve">ancient cultural </w:t>
      </w:r>
      <w:r w:rsidRPr="00082AED">
        <w:rPr>
          <w:color w:val="000000" w:themeColor="text1"/>
        </w:rPr>
        <w:t>groups like the Amish</w:t>
      </w:r>
      <w:r w:rsidR="008511C7" w:rsidRPr="00082AED">
        <w:rPr>
          <w:color w:val="000000" w:themeColor="text1"/>
        </w:rPr>
        <w:t>.</w:t>
      </w:r>
      <w:r w:rsidRPr="00082AED">
        <w:rPr>
          <w:color w:val="000000" w:themeColor="text1"/>
        </w:rPr>
        <w:t xml:space="preserve"> </w:t>
      </w:r>
      <w:r w:rsidR="008511C7" w:rsidRPr="00082AED">
        <w:rPr>
          <w:color w:val="000000" w:themeColor="text1"/>
        </w:rPr>
        <w:t xml:space="preserve">The farming industry </w:t>
      </w:r>
      <w:r w:rsidR="000A3081">
        <w:rPr>
          <w:color w:val="000000" w:themeColor="text1"/>
        </w:rPr>
        <w:t xml:space="preserve">not only </w:t>
      </w:r>
      <w:r w:rsidR="008511C7" w:rsidRPr="00082AED">
        <w:rPr>
          <w:color w:val="000000" w:themeColor="text1"/>
        </w:rPr>
        <w:t>helps</w:t>
      </w:r>
      <w:r w:rsidR="005F1EEB" w:rsidRPr="00082AED">
        <w:rPr>
          <w:color w:val="000000" w:themeColor="text1"/>
        </w:rPr>
        <w:t xml:space="preserve"> </w:t>
      </w:r>
      <w:r w:rsidR="000A3081">
        <w:rPr>
          <w:color w:val="000000" w:themeColor="text1"/>
        </w:rPr>
        <w:t xml:space="preserve">encourage jobs and financial growth </w:t>
      </w:r>
      <w:r w:rsidR="00BB2DCE">
        <w:rPr>
          <w:color w:val="000000" w:themeColor="text1"/>
        </w:rPr>
        <w:t>but</w:t>
      </w:r>
      <w:r w:rsidR="000A3081">
        <w:rPr>
          <w:color w:val="000000" w:themeColor="text1"/>
        </w:rPr>
        <w:t xml:space="preserve"> also helps provide the natural beauty and </w:t>
      </w:r>
      <w:r w:rsidRPr="00082AED">
        <w:rPr>
          <w:color w:val="000000" w:themeColor="text1"/>
        </w:rPr>
        <w:t>diversity</w:t>
      </w:r>
      <w:r w:rsidR="005F1EEB" w:rsidRPr="00082AED">
        <w:rPr>
          <w:color w:val="000000" w:themeColor="text1"/>
        </w:rPr>
        <w:t xml:space="preserve"> that make Pennsylvania </w:t>
      </w:r>
      <w:r w:rsidR="000A3081">
        <w:rPr>
          <w:color w:val="000000" w:themeColor="text1"/>
        </w:rPr>
        <w:t>so charming</w:t>
      </w:r>
      <w:r w:rsidR="00951CF6">
        <w:rPr>
          <w:color w:val="000000" w:themeColor="text1"/>
        </w:rPr>
        <w:t xml:space="preserve"> and welcoming</w:t>
      </w:r>
      <w:r w:rsidRPr="00082AED">
        <w:rPr>
          <w:color w:val="000000" w:themeColor="text1"/>
        </w:rPr>
        <w:t xml:space="preserve">. </w:t>
      </w:r>
    </w:p>
    <w:p w14:paraId="36F43C46" w14:textId="4CB9BFD3" w:rsidR="000A3081" w:rsidRDefault="00136DB6" w:rsidP="000A3081">
      <w:pPr>
        <w:spacing w:line="480" w:lineRule="auto"/>
        <w:ind w:right="720" w:firstLine="360"/>
        <w:rPr>
          <w:color w:val="000000" w:themeColor="text1"/>
        </w:rPr>
      </w:pPr>
      <w:r w:rsidRPr="00082AED">
        <w:rPr>
          <w:color w:val="000000" w:themeColor="text1"/>
        </w:rPr>
        <w:t xml:space="preserve">A long history of pollution has brought a general understanding that the state can no longer allow unfettered misuse of its natural resources like clean air and water. </w:t>
      </w:r>
      <w:r w:rsidR="008D3F7B">
        <w:rPr>
          <w:color w:val="000000" w:themeColor="text1"/>
        </w:rPr>
        <w:t>Yet although it</w:t>
      </w:r>
      <w:r w:rsidRPr="00082AED">
        <w:rPr>
          <w:color w:val="000000" w:themeColor="text1"/>
        </w:rPr>
        <w:t xml:space="preserve"> is important to protect the </w:t>
      </w:r>
      <w:r>
        <w:rPr>
          <w:color w:val="000000" w:themeColor="text1"/>
        </w:rPr>
        <w:t xml:space="preserve">public’s right to a clean </w:t>
      </w:r>
      <w:r w:rsidRPr="00082AED">
        <w:rPr>
          <w:color w:val="000000" w:themeColor="text1"/>
        </w:rPr>
        <w:t>environment, it is equally important to protect the economy</w:t>
      </w:r>
      <w:r w:rsidR="00951CF6">
        <w:rPr>
          <w:color w:val="000000" w:themeColor="text1"/>
        </w:rPr>
        <w:t>,</w:t>
      </w:r>
      <w:r w:rsidRPr="00082AED">
        <w:rPr>
          <w:color w:val="000000" w:themeColor="text1"/>
        </w:rPr>
        <w:t xml:space="preserve"> includ</w:t>
      </w:r>
      <w:r w:rsidR="00951CF6">
        <w:rPr>
          <w:color w:val="000000" w:themeColor="text1"/>
        </w:rPr>
        <w:t>ing</w:t>
      </w:r>
      <w:r w:rsidRPr="00082AED">
        <w:rPr>
          <w:color w:val="000000" w:themeColor="text1"/>
        </w:rPr>
        <w:t xml:space="preserve"> </w:t>
      </w:r>
      <w:r w:rsidR="00951CF6">
        <w:rPr>
          <w:color w:val="000000" w:themeColor="text1"/>
        </w:rPr>
        <w:t xml:space="preserve">the Pennsylvania’s productive and </w:t>
      </w:r>
      <w:r w:rsidRPr="00082AED">
        <w:rPr>
          <w:color w:val="000000" w:themeColor="text1"/>
        </w:rPr>
        <w:t>scenic</w:t>
      </w:r>
      <w:r w:rsidR="008D3F7B">
        <w:rPr>
          <w:color w:val="000000" w:themeColor="text1"/>
        </w:rPr>
        <w:t xml:space="preserve"> </w:t>
      </w:r>
      <w:bookmarkStart w:id="1" w:name="_GoBack"/>
      <w:bookmarkEnd w:id="1"/>
      <w:r w:rsidRPr="00082AED">
        <w:rPr>
          <w:color w:val="000000" w:themeColor="text1"/>
        </w:rPr>
        <w:t xml:space="preserve">farms. The </w:t>
      </w:r>
      <w:r w:rsidR="000F381E">
        <w:rPr>
          <w:color w:val="000000" w:themeColor="text1"/>
        </w:rPr>
        <w:t xml:space="preserve">religious </w:t>
      </w:r>
      <w:r w:rsidR="00ED7F70">
        <w:rPr>
          <w:color w:val="000000" w:themeColor="text1"/>
        </w:rPr>
        <w:t xml:space="preserve">freedom and other </w:t>
      </w:r>
      <w:r w:rsidRPr="00082AED">
        <w:rPr>
          <w:color w:val="000000" w:themeColor="text1"/>
        </w:rPr>
        <w:t xml:space="preserve">rights of diverse cultures </w:t>
      </w:r>
      <w:r w:rsidR="000F381E">
        <w:rPr>
          <w:color w:val="000000" w:themeColor="text1"/>
        </w:rPr>
        <w:t>such as</w:t>
      </w:r>
      <w:r w:rsidRPr="00082AED">
        <w:rPr>
          <w:color w:val="000000" w:themeColor="text1"/>
        </w:rPr>
        <w:t xml:space="preserve"> the Amish </w:t>
      </w:r>
      <w:r>
        <w:rPr>
          <w:color w:val="000000" w:themeColor="text1"/>
        </w:rPr>
        <w:t xml:space="preserve">must also be </w:t>
      </w:r>
      <w:r w:rsidR="00C96F6F">
        <w:rPr>
          <w:color w:val="000000" w:themeColor="text1"/>
        </w:rPr>
        <w:t xml:space="preserve">carefully </w:t>
      </w:r>
      <w:r>
        <w:rPr>
          <w:color w:val="000000" w:themeColor="text1"/>
        </w:rPr>
        <w:t>pr</w:t>
      </w:r>
      <w:r w:rsidR="000D603D">
        <w:rPr>
          <w:color w:val="000000" w:themeColor="text1"/>
        </w:rPr>
        <w:t>eserv</w:t>
      </w:r>
      <w:r>
        <w:rPr>
          <w:color w:val="000000" w:themeColor="text1"/>
        </w:rPr>
        <w:t>ed</w:t>
      </w:r>
      <w:r w:rsidR="00C96F6F">
        <w:rPr>
          <w:color w:val="000000" w:themeColor="text1"/>
        </w:rPr>
        <w:t xml:space="preserve">. As unique citizens of the Commonwealth, these people </w:t>
      </w:r>
      <w:r w:rsidRPr="00082AED">
        <w:rPr>
          <w:color w:val="000000" w:themeColor="text1"/>
        </w:rPr>
        <w:t xml:space="preserve">help to </w:t>
      </w:r>
      <w:r w:rsidR="00C96F6F">
        <w:rPr>
          <w:color w:val="000000" w:themeColor="text1"/>
        </w:rPr>
        <w:t xml:space="preserve">create the fabric </w:t>
      </w:r>
      <w:r w:rsidR="00951CF6">
        <w:rPr>
          <w:color w:val="000000" w:themeColor="text1"/>
        </w:rPr>
        <w:t>of</w:t>
      </w:r>
      <w:r w:rsidR="00C96F6F">
        <w:rPr>
          <w:color w:val="000000" w:themeColor="text1"/>
        </w:rPr>
        <w:t xml:space="preserve"> Pennsylvania and make the state</w:t>
      </w:r>
      <w:r w:rsidRPr="00082AED">
        <w:rPr>
          <w:color w:val="000000" w:themeColor="text1"/>
        </w:rPr>
        <w:t xml:space="preserve"> </w:t>
      </w:r>
      <w:r w:rsidR="000A3081">
        <w:rPr>
          <w:color w:val="000000" w:themeColor="text1"/>
        </w:rPr>
        <w:t xml:space="preserve">more </w:t>
      </w:r>
      <w:r w:rsidRPr="00082AED">
        <w:rPr>
          <w:color w:val="000000" w:themeColor="text1"/>
        </w:rPr>
        <w:t xml:space="preserve">attractive </w:t>
      </w:r>
      <w:r w:rsidR="00951CF6">
        <w:rPr>
          <w:color w:val="000000" w:themeColor="text1"/>
        </w:rPr>
        <w:t>as a community</w:t>
      </w:r>
      <w:r w:rsidRPr="00082AED">
        <w:rPr>
          <w:color w:val="000000" w:themeColor="text1"/>
        </w:rPr>
        <w:t>.</w:t>
      </w:r>
    </w:p>
    <w:p w14:paraId="199EDAB8" w14:textId="12114718" w:rsidR="009A3F7D" w:rsidRPr="00082AED" w:rsidRDefault="00951CF6" w:rsidP="000A3081">
      <w:pPr>
        <w:spacing w:line="480" w:lineRule="auto"/>
        <w:ind w:right="720" w:firstLine="360"/>
        <w:rPr>
          <w:color w:val="000000" w:themeColor="text1"/>
        </w:rPr>
      </w:pPr>
      <w:r w:rsidRPr="00082AED">
        <w:rPr>
          <w:color w:val="000000" w:themeColor="text1"/>
        </w:rPr>
        <w:lastRenderedPageBreak/>
        <w:t>With all of these competing interests</w:t>
      </w:r>
      <w:r>
        <w:rPr>
          <w:color w:val="000000" w:themeColor="text1"/>
        </w:rPr>
        <w:t xml:space="preserve"> in the state</w:t>
      </w:r>
      <w:r w:rsidRPr="00082AED">
        <w:rPr>
          <w:color w:val="000000" w:themeColor="text1"/>
        </w:rPr>
        <w:t xml:space="preserve">, Pennsylvania courts are aware that they must strike a balance. </w:t>
      </w:r>
      <w:r w:rsidR="00161D54" w:rsidRPr="00082AED">
        <w:rPr>
          <w:color w:val="000000" w:themeColor="text1"/>
        </w:rPr>
        <w:t xml:space="preserve">Pennsylvania is no longer the </w:t>
      </w:r>
      <w:r w:rsidR="003F7602" w:rsidRPr="00082AED">
        <w:rPr>
          <w:color w:val="000000" w:themeColor="text1"/>
        </w:rPr>
        <w:t>ruggedly</w:t>
      </w:r>
      <w:r w:rsidR="003342A8" w:rsidRPr="00082AED">
        <w:rPr>
          <w:color w:val="000000" w:themeColor="text1"/>
        </w:rPr>
        <w:t>-</w:t>
      </w:r>
      <w:r w:rsidR="00161D54" w:rsidRPr="00082AED">
        <w:rPr>
          <w:color w:val="000000" w:themeColor="text1"/>
        </w:rPr>
        <w:t xml:space="preserve">rural state it once was, </w:t>
      </w:r>
      <w:r w:rsidR="00AC4137" w:rsidRPr="00082AED">
        <w:rPr>
          <w:color w:val="000000" w:themeColor="text1"/>
        </w:rPr>
        <w:t xml:space="preserve">not </w:t>
      </w:r>
      <w:r w:rsidR="00161D54" w:rsidRPr="00082AED">
        <w:rPr>
          <w:color w:val="000000" w:themeColor="text1"/>
        </w:rPr>
        <w:t>even in the “wilds” of its far</w:t>
      </w:r>
      <w:r w:rsidR="003342A8" w:rsidRPr="00082AED">
        <w:rPr>
          <w:color w:val="000000" w:themeColor="text1"/>
        </w:rPr>
        <w:t>thest</w:t>
      </w:r>
      <w:r w:rsidR="00161D54" w:rsidRPr="00082AED">
        <w:rPr>
          <w:color w:val="000000" w:themeColor="text1"/>
        </w:rPr>
        <w:t xml:space="preserve"> northern tier. I</w:t>
      </w:r>
      <w:r w:rsidR="00E343F6" w:rsidRPr="00082AED">
        <w:rPr>
          <w:color w:val="000000" w:themeColor="text1"/>
        </w:rPr>
        <w:t xml:space="preserve">n coming years, as </w:t>
      </w:r>
      <w:r w:rsidR="00EF4BB3" w:rsidRPr="00082AED">
        <w:rPr>
          <w:color w:val="000000" w:themeColor="text1"/>
        </w:rPr>
        <w:t xml:space="preserve">population and environmental concerns </w:t>
      </w:r>
      <w:r w:rsidR="00B943AE" w:rsidRPr="00082AED">
        <w:rPr>
          <w:color w:val="000000" w:themeColor="text1"/>
        </w:rPr>
        <w:t xml:space="preserve">clash more frequently </w:t>
      </w:r>
      <w:r w:rsidR="00EF4BB3" w:rsidRPr="00082AED">
        <w:rPr>
          <w:color w:val="000000" w:themeColor="text1"/>
        </w:rPr>
        <w:t>with property rights and religious beliefs, the</w:t>
      </w:r>
      <w:r w:rsidR="00B943AE" w:rsidRPr="00082AED">
        <w:rPr>
          <w:color w:val="000000" w:themeColor="text1"/>
        </w:rPr>
        <w:t xml:space="preserve"> future</w:t>
      </w:r>
      <w:r w:rsidR="00EF4BB3" w:rsidRPr="00082AED">
        <w:rPr>
          <w:color w:val="000000" w:themeColor="text1"/>
        </w:rPr>
        <w:t xml:space="preserve"> </w:t>
      </w:r>
      <w:r w:rsidR="007E62E7" w:rsidRPr="00082AED">
        <w:rPr>
          <w:color w:val="000000" w:themeColor="text1"/>
        </w:rPr>
        <w:t>will almost certainly</w:t>
      </w:r>
      <w:r w:rsidR="00EF4BB3" w:rsidRPr="00082AED">
        <w:rPr>
          <w:color w:val="000000" w:themeColor="text1"/>
        </w:rPr>
        <w:t xml:space="preserve"> </w:t>
      </w:r>
      <w:r w:rsidR="00B943AE" w:rsidRPr="00082AED">
        <w:rPr>
          <w:color w:val="000000" w:themeColor="text1"/>
        </w:rPr>
        <w:t>hold</w:t>
      </w:r>
      <w:r w:rsidR="00EF4BB3" w:rsidRPr="00082AED">
        <w:rPr>
          <w:color w:val="000000" w:themeColor="text1"/>
        </w:rPr>
        <w:t xml:space="preserve"> more cases </w:t>
      </w:r>
      <w:r w:rsidR="007E62E7" w:rsidRPr="00082AED">
        <w:rPr>
          <w:color w:val="000000" w:themeColor="text1"/>
        </w:rPr>
        <w:t>like</w:t>
      </w:r>
      <w:r w:rsidR="00EF4BB3" w:rsidRPr="00082AED">
        <w:rPr>
          <w:color w:val="000000" w:themeColor="text1"/>
        </w:rPr>
        <w:t xml:space="preserve"> </w:t>
      </w:r>
      <w:r w:rsidR="00EF4BB3" w:rsidRPr="00082AED">
        <w:rPr>
          <w:i/>
          <w:color w:val="000000" w:themeColor="text1"/>
        </w:rPr>
        <w:t>Sugar Grove T</w:t>
      </w:r>
      <w:r w:rsidR="00C65BA0" w:rsidRPr="00082AED">
        <w:rPr>
          <w:i/>
          <w:color w:val="000000" w:themeColor="text1"/>
        </w:rPr>
        <w:t>ownship</w:t>
      </w:r>
      <w:r w:rsidR="00EF4BB3" w:rsidRPr="00082AED">
        <w:rPr>
          <w:i/>
          <w:color w:val="000000" w:themeColor="text1"/>
        </w:rPr>
        <w:t xml:space="preserve"> v. Byler.</w:t>
      </w:r>
      <w:r w:rsidR="00985EE2" w:rsidRPr="00082AED">
        <w:rPr>
          <w:color w:val="000000" w:themeColor="text1"/>
        </w:rPr>
        <w:t xml:space="preserve"> </w:t>
      </w:r>
    </w:p>
    <w:sectPr w:rsidR="009A3F7D" w:rsidRPr="00082AED" w:rsidSect="0008415E">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2C0D" w14:textId="77777777" w:rsidR="005925E5" w:rsidRDefault="005925E5" w:rsidP="00615E01">
      <w:r>
        <w:separator/>
      </w:r>
    </w:p>
  </w:endnote>
  <w:endnote w:type="continuationSeparator" w:id="0">
    <w:p w14:paraId="2C7E45DB" w14:textId="77777777" w:rsidR="005925E5" w:rsidRDefault="005925E5" w:rsidP="0061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1C05" w14:textId="77777777" w:rsidR="005925E5" w:rsidRDefault="005925E5" w:rsidP="00615E01">
      <w:r>
        <w:separator/>
      </w:r>
    </w:p>
  </w:footnote>
  <w:footnote w:type="continuationSeparator" w:id="0">
    <w:p w14:paraId="726728EF" w14:textId="77777777" w:rsidR="005925E5" w:rsidRDefault="005925E5" w:rsidP="00615E01">
      <w:r>
        <w:continuationSeparator/>
      </w:r>
    </w:p>
  </w:footnote>
  <w:footnote w:id="1">
    <w:p w14:paraId="278C8E55" w14:textId="437DDA45" w:rsidR="00F86371" w:rsidRPr="00784054" w:rsidRDefault="00F86371" w:rsidP="000B58B4">
      <w:pPr>
        <w:rPr>
          <w:sz w:val="18"/>
          <w:szCs w:val="18"/>
        </w:rPr>
      </w:pPr>
      <w:r w:rsidRPr="00784054">
        <w:rPr>
          <w:rStyle w:val="FootnoteReference"/>
          <w:sz w:val="18"/>
          <w:szCs w:val="18"/>
        </w:rPr>
        <w:footnoteRef/>
      </w:r>
      <w:r w:rsidRPr="00784054">
        <w:rPr>
          <w:sz w:val="18"/>
          <w:szCs w:val="18"/>
        </w:rPr>
        <w:t xml:space="preserve"> </w:t>
      </w:r>
      <w:r w:rsidRPr="00784054">
        <w:rPr>
          <w:i/>
          <w:sz w:val="18"/>
          <w:szCs w:val="18"/>
        </w:rPr>
        <w:t>Amish Studies</w:t>
      </w:r>
      <w:r>
        <w:rPr>
          <w:sz w:val="18"/>
          <w:szCs w:val="18"/>
        </w:rPr>
        <w:t xml:space="preserve">, </w:t>
      </w:r>
      <w:r w:rsidRPr="00784054">
        <w:rPr>
          <w:smallCaps/>
          <w:sz w:val="18"/>
          <w:szCs w:val="18"/>
        </w:rPr>
        <w:t>The Young Center for Anabaptist and Pietist Studies at Elizabethtown College</w:t>
      </w:r>
      <w:r>
        <w:rPr>
          <w:sz w:val="18"/>
          <w:szCs w:val="18"/>
        </w:rPr>
        <w:t xml:space="preserve"> </w:t>
      </w:r>
      <w:r w:rsidRPr="00784054">
        <w:rPr>
          <w:sz w:val="18"/>
          <w:szCs w:val="18"/>
        </w:rPr>
        <w:t>http://groups.etown.edu/amishstudies/</w:t>
      </w:r>
      <w:r w:rsidRPr="00AD1245">
        <w:rPr>
          <w:sz w:val="18"/>
          <w:szCs w:val="18"/>
        </w:rPr>
        <w:t xml:space="preserve"> </w:t>
      </w:r>
      <w:r w:rsidRPr="00784054">
        <w:rPr>
          <w:sz w:val="18"/>
          <w:szCs w:val="18"/>
        </w:rPr>
        <w:t>(</w:t>
      </w:r>
      <w:r w:rsidRPr="00AD1245">
        <w:rPr>
          <w:sz w:val="18"/>
          <w:szCs w:val="18"/>
        </w:rPr>
        <w:t>last visited May</w:t>
      </w:r>
      <w:r w:rsidRPr="00784054">
        <w:rPr>
          <w:sz w:val="18"/>
          <w:szCs w:val="18"/>
        </w:rPr>
        <w:t xml:space="preserve"> </w:t>
      </w:r>
      <w:r w:rsidRPr="00AD1245">
        <w:rPr>
          <w:sz w:val="18"/>
          <w:szCs w:val="18"/>
        </w:rPr>
        <w:t>1</w:t>
      </w:r>
      <w:r w:rsidRPr="00784054">
        <w:rPr>
          <w:sz w:val="18"/>
          <w:szCs w:val="18"/>
        </w:rPr>
        <w:t>4, 2018)</w:t>
      </w:r>
      <w:r w:rsidRPr="00AD1245">
        <w:rPr>
          <w:sz w:val="18"/>
          <w:szCs w:val="18"/>
        </w:rPr>
        <w:t>.</w:t>
      </w:r>
    </w:p>
  </w:footnote>
  <w:footnote w:id="2">
    <w:p w14:paraId="30550B90" w14:textId="6F1F1046"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sidRPr="00784054">
        <w:rPr>
          <w:i/>
          <w:sz w:val="18"/>
          <w:szCs w:val="18"/>
        </w:rPr>
        <w:t>Communal Values,</w:t>
      </w:r>
      <w:r w:rsidRPr="00784054">
        <w:rPr>
          <w:sz w:val="18"/>
          <w:szCs w:val="18"/>
        </w:rPr>
        <w:t xml:space="preserve"> http://groups.etown.edu/amishstudies/social-organization/communal-values/ (</w:t>
      </w:r>
      <w:r w:rsidRPr="00AD1245">
        <w:rPr>
          <w:sz w:val="18"/>
          <w:szCs w:val="18"/>
        </w:rPr>
        <w:t xml:space="preserve">last visited </w:t>
      </w:r>
      <w:r>
        <w:rPr>
          <w:sz w:val="18"/>
          <w:szCs w:val="18"/>
        </w:rPr>
        <w:t>May 12</w:t>
      </w:r>
      <w:r w:rsidRPr="00784054">
        <w:rPr>
          <w:sz w:val="18"/>
          <w:szCs w:val="18"/>
        </w:rPr>
        <w:t>, 201</w:t>
      </w:r>
      <w:r>
        <w:rPr>
          <w:sz w:val="18"/>
          <w:szCs w:val="18"/>
        </w:rPr>
        <w:t>9</w:t>
      </w:r>
      <w:r w:rsidRPr="00784054">
        <w:rPr>
          <w:sz w:val="18"/>
          <w:szCs w:val="18"/>
        </w:rPr>
        <w:t>)</w:t>
      </w:r>
      <w:r w:rsidRPr="00AD1245">
        <w:rPr>
          <w:sz w:val="18"/>
          <w:szCs w:val="18"/>
        </w:rPr>
        <w:t>.</w:t>
      </w:r>
    </w:p>
  </w:footnote>
  <w:footnote w:id="3">
    <w:p w14:paraId="5700D5EA" w14:textId="0E70953F" w:rsidR="00F86371" w:rsidRPr="00784054" w:rsidRDefault="00F86371">
      <w:pPr>
        <w:pStyle w:val="FootnoteText"/>
        <w:rPr>
          <w:sz w:val="18"/>
          <w:szCs w:val="18"/>
        </w:rPr>
      </w:pPr>
      <w:r w:rsidRPr="00784054">
        <w:rPr>
          <w:rStyle w:val="FootnoteReference"/>
          <w:sz w:val="18"/>
          <w:szCs w:val="18"/>
        </w:rPr>
        <w:footnoteRef/>
      </w:r>
      <w:r>
        <w:rPr>
          <w:sz w:val="18"/>
          <w:szCs w:val="18"/>
        </w:rPr>
        <w:t xml:space="preserve"> </w:t>
      </w:r>
      <w:r w:rsidRPr="00784054">
        <w:rPr>
          <w:i/>
          <w:sz w:val="18"/>
          <w:szCs w:val="18"/>
        </w:rPr>
        <w:t>Id</w:t>
      </w:r>
      <w:r>
        <w:rPr>
          <w:i/>
          <w:sz w:val="18"/>
          <w:szCs w:val="18"/>
        </w:rPr>
        <w:t xml:space="preserve">., </w:t>
      </w:r>
      <w:r w:rsidRPr="00784054">
        <w:rPr>
          <w:i/>
          <w:sz w:val="18"/>
          <w:szCs w:val="18"/>
        </w:rPr>
        <w:t>Cultural Practices: Technology</w:t>
      </w:r>
      <w:r w:rsidRPr="00784054">
        <w:rPr>
          <w:sz w:val="18"/>
          <w:szCs w:val="18"/>
        </w:rPr>
        <w:t>, http://groups.etown.edu/amishstudies/cultural-practices/technology/</w:t>
      </w:r>
      <w:r w:rsidRPr="00AD1245">
        <w:rPr>
          <w:sz w:val="18"/>
          <w:szCs w:val="18"/>
        </w:rPr>
        <w:t xml:space="preserve"> </w:t>
      </w:r>
      <w:r w:rsidRPr="00784054">
        <w:rPr>
          <w:sz w:val="18"/>
          <w:szCs w:val="18"/>
        </w:rPr>
        <w:t>(</w:t>
      </w:r>
      <w:r w:rsidRPr="00AD1245">
        <w:rPr>
          <w:sz w:val="18"/>
          <w:szCs w:val="18"/>
        </w:rPr>
        <w:t xml:space="preserve">last visited </w:t>
      </w:r>
      <w:r>
        <w:rPr>
          <w:sz w:val="18"/>
          <w:szCs w:val="18"/>
        </w:rPr>
        <w:t>May 12, 2019</w:t>
      </w:r>
      <w:r w:rsidRPr="00784054">
        <w:rPr>
          <w:sz w:val="18"/>
          <w:szCs w:val="18"/>
        </w:rPr>
        <w:t>)</w:t>
      </w:r>
      <w:r w:rsidRPr="00AD1245">
        <w:rPr>
          <w:sz w:val="18"/>
          <w:szCs w:val="18"/>
        </w:rPr>
        <w:t>.</w:t>
      </w:r>
    </w:p>
  </w:footnote>
  <w:footnote w:id="4">
    <w:p w14:paraId="1AF3D640" w14:textId="42B783C9"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5">
    <w:p w14:paraId="5A5B40F7" w14:textId="1E7F271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sidRPr="00784054">
        <w:rPr>
          <w:i/>
          <w:sz w:val="18"/>
          <w:szCs w:val="18"/>
        </w:rPr>
        <w:t>Amish Population 2018</w:t>
      </w:r>
      <w:r w:rsidRPr="00784054">
        <w:rPr>
          <w:sz w:val="18"/>
          <w:szCs w:val="18"/>
        </w:rPr>
        <w:t>, http://groups.etown.edu/amishstudies/statistics/population-2018/</w:t>
      </w:r>
      <w:r w:rsidRPr="00AD1245">
        <w:rPr>
          <w:sz w:val="18"/>
          <w:szCs w:val="18"/>
        </w:rPr>
        <w:t xml:space="preserve"> </w:t>
      </w:r>
      <w:r w:rsidRPr="00784054">
        <w:rPr>
          <w:sz w:val="18"/>
          <w:szCs w:val="18"/>
        </w:rPr>
        <w:t>(</w:t>
      </w:r>
      <w:r w:rsidRPr="00AD1245">
        <w:rPr>
          <w:sz w:val="18"/>
          <w:szCs w:val="18"/>
        </w:rPr>
        <w:t xml:space="preserve">last visited </w:t>
      </w:r>
      <w:r>
        <w:rPr>
          <w:sz w:val="18"/>
          <w:szCs w:val="18"/>
        </w:rPr>
        <w:t>May 12</w:t>
      </w:r>
      <w:r w:rsidRPr="00784054">
        <w:rPr>
          <w:sz w:val="18"/>
          <w:szCs w:val="18"/>
        </w:rPr>
        <w:t>, 201</w:t>
      </w:r>
      <w:r>
        <w:rPr>
          <w:sz w:val="18"/>
          <w:szCs w:val="18"/>
        </w:rPr>
        <w:t>9)</w:t>
      </w:r>
      <w:r w:rsidRPr="00AD1245">
        <w:rPr>
          <w:sz w:val="18"/>
          <w:szCs w:val="18"/>
        </w:rPr>
        <w:t>.</w:t>
      </w:r>
    </w:p>
  </w:footnote>
  <w:footnote w:id="6">
    <w:p w14:paraId="12D4976B" w14:textId="2BAAD912"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sidRPr="00784054">
        <w:rPr>
          <w:i/>
          <w:sz w:val="18"/>
          <w:szCs w:val="18"/>
        </w:rPr>
        <w:t>Twelve Largest Settlements, 2018</w:t>
      </w:r>
      <w:r w:rsidRPr="00784054">
        <w:rPr>
          <w:sz w:val="18"/>
          <w:szCs w:val="18"/>
        </w:rPr>
        <w:t>, http://groups.etown.edu/amishstudies/statistics/twelve-largest-settlements-2018/</w:t>
      </w:r>
      <w:r w:rsidRPr="00AD1245">
        <w:rPr>
          <w:sz w:val="18"/>
          <w:szCs w:val="18"/>
        </w:rPr>
        <w:t xml:space="preserve"> </w:t>
      </w:r>
      <w:r w:rsidRPr="00784054">
        <w:rPr>
          <w:sz w:val="18"/>
          <w:szCs w:val="18"/>
        </w:rPr>
        <w:t>(</w:t>
      </w:r>
      <w:r w:rsidRPr="00AD1245">
        <w:rPr>
          <w:sz w:val="18"/>
          <w:szCs w:val="18"/>
        </w:rPr>
        <w:t xml:space="preserve">last visited </w:t>
      </w:r>
      <w:r>
        <w:rPr>
          <w:sz w:val="18"/>
          <w:szCs w:val="18"/>
        </w:rPr>
        <w:t>May 12</w:t>
      </w:r>
      <w:r w:rsidRPr="00784054">
        <w:rPr>
          <w:sz w:val="18"/>
          <w:szCs w:val="18"/>
        </w:rPr>
        <w:t>, 201</w:t>
      </w:r>
      <w:r>
        <w:rPr>
          <w:sz w:val="18"/>
          <w:szCs w:val="18"/>
        </w:rPr>
        <w:t>9</w:t>
      </w:r>
      <w:r w:rsidRPr="00784054">
        <w:rPr>
          <w:sz w:val="18"/>
          <w:szCs w:val="18"/>
        </w:rPr>
        <w:t>)</w:t>
      </w:r>
      <w:r w:rsidRPr="00AD1245">
        <w:rPr>
          <w:sz w:val="18"/>
          <w:szCs w:val="18"/>
        </w:rPr>
        <w:t>.</w:t>
      </w:r>
    </w:p>
  </w:footnote>
  <w:footnote w:id="7">
    <w:p w14:paraId="6E76B6EB" w14:textId="0B64ED7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Amish Lifestyle Squeezed in Pennsylvania, </w:t>
      </w:r>
      <w:r w:rsidRPr="00784054">
        <w:rPr>
          <w:smallCaps/>
          <w:sz w:val="18"/>
          <w:szCs w:val="18"/>
        </w:rPr>
        <w:t>Washington Post</w:t>
      </w:r>
      <w:r w:rsidRPr="00784054">
        <w:rPr>
          <w:sz w:val="18"/>
          <w:szCs w:val="18"/>
        </w:rPr>
        <w:t xml:space="preserve"> </w:t>
      </w:r>
      <w:r w:rsidRPr="00AD1245">
        <w:rPr>
          <w:sz w:val="18"/>
          <w:szCs w:val="18"/>
        </w:rPr>
        <w:t>(</w:t>
      </w:r>
      <w:r w:rsidRPr="00784054">
        <w:rPr>
          <w:sz w:val="18"/>
          <w:szCs w:val="18"/>
        </w:rPr>
        <w:t>Dec. 27, 1992</w:t>
      </w:r>
      <w:r>
        <w:rPr>
          <w:sz w:val="18"/>
          <w:szCs w:val="18"/>
        </w:rPr>
        <w:t xml:space="preserve">) </w:t>
      </w:r>
      <w:r w:rsidRPr="004C74E6">
        <w:rPr>
          <w:sz w:val="18"/>
          <w:szCs w:val="18"/>
        </w:rPr>
        <w:t>https://www.washingtonpost.com/archive/politics/1992/12/27/amish-lifestyle-squeezed-in-pennsylvania/f8990bbe-4fa1-4e90-a095-fd3d3ab5420c/?utm_term=.381aa0c1931d</w:t>
      </w:r>
      <w:r>
        <w:rPr>
          <w:sz w:val="18"/>
          <w:szCs w:val="18"/>
        </w:rPr>
        <w:t>.</w:t>
      </w:r>
    </w:p>
  </w:footnote>
  <w:footnote w:id="8">
    <w:p w14:paraId="001F2CAC" w14:textId="3E7BED01"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9">
    <w:p w14:paraId="5D912AC5" w14:textId="3DA34A5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0">
    <w:p w14:paraId="20E033AD" w14:textId="74A55AD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See, e.g., Simply Authentic, </w:t>
      </w:r>
      <w:r w:rsidRPr="00784054">
        <w:rPr>
          <w:smallCaps/>
          <w:sz w:val="18"/>
          <w:szCs w:val="18"/>
        </w:rPr>
        <w:t>Visit Lawrence County</w:t>
      </w:r>
      <w:r w:rsidRPr="00784054">
        <w:rPr>
          <w:sz w:val="18"/>
          <w:szCs w:val="18"/>
        </w:rPr>
        <w:t>,</w:t>
      </w:r>
      <w:r>
        <w:rPr>
          <w:sz w:val="18"/>
          <w:szCs w:val="18"/>
        </w:rPr>
        <w:t xml:space="preserve"> </w:t>
      </w:r>
      <w:r w:rsidRPr="00784054">
        <w:rPr>
          <w:sz w:val="18"/>
          <w:szCs w:val="18"/>
        </w:rPr>
        <w:t xml:space="preserve"> http://visitlawrencecounty.com/local-attractions/featured-attractions/amish-countryside/,  (</w:t>
      </w:r>
      <w:r>
        <w:rPr>
          <w:sz w:val="18"/>
          <w:szCs w:val="18"/>
        </w:rPr>
        <w:t xml:space="preserve">last visited May 13, </w:t>
      </w:r>
      <w:r w:rsidRPr="00784054">
        <w:rPr>
          <w:sz w:val="18"/>
          <w:szCs w:val="18"/>
        </w:rPr>
        <w:t>201</w:t>
      </w:r>
      <w:r>
        <w:rPr>
          <w:sz w:val="18"/>
          <w:szCs w:val="18"/>
        </w:rPr>
        <w:t>9</w:t>
      </w:r>
      <w:r w:rsidRPr="00784054">
        <w:rPr>
          <w:sz w:val="18"/>
          <w:szCs w:val="18"/>
        </w:rPr>
        <w:t>)</w:t>
      </w:r>
      <w:r>
        <w:rPr>
          <w:sz w:val="18"/>
          <w:szCs w:val="18"/>
        </w:rPr>
        <w:t xml:space="preserve">; </w:t>
      </w:r>
      <w:r w:rsidRPr="00784054">
        <w:rPr>
          <w:sz w:val="18"/>
          <w:szCs w:val="18"/>
        </w:rPr>
        <w:t xml:space="preserve"> </w:t>
      </w:r>
      <w:r w:rsidRPr="00784054">
        <w:rPr>
          <w:i/>
          <w:sz w:val="18"/>
          <w:szCs w:val="18"/>
        </w:rPr>
        <w:t xml:space="preserve">Smicksburg and the Amish, </w:t>
      </w:r>
      <w:r w:rsidRPr="00784054">
        <w:rPr>
          <w:smallCaps/>
          <w:sz w:val="18"/>
          <w:szCs w:val="18"/>
        </w:rPr>
        <w:t>Indiana County PA</w:t>
      </w:r>
      <w:r>
        <w:rPr>
          <w:sz w:val="18"/>
          <w:szCs w:val="18"/>
        </w:rPr>
        <w:t xml:space="preserve"> </w:t>
      </w:r>
      <w:r w:rsidRPr="00784054">
        <w:rPr>
          <w:sz w:val="18"/>
          <w:szCs w:val="18"/>
        </w:rPr>
        <w:t>http://visitindianacountypa.org/things-to-do/smicksburg-the-amish/</w:t>
      </w:r>
      <w:r>
        <w:rPr>
          <w:sz w:val="18"/>
          <w:szCs w:val="18"/>
        </w:rPr>
        <w:t xml:space="preserve"> </w:t>
      </w:r>
      <w:r w:rsidRPr="00784054">
        <w:rPr>
          <w:sz w:val="18"/>
          <w:szCs w:val="18"/>
        </w:rPr>
        <w:t>(</w:t>
      </w:r>
      <w:r>
        <w:rPr>
          <w:sz w:val="18"/>
          <w:szCs w:val="18"/>
        </w:rPr>
        <w:t>last visited May 13</w:t>
      </w:r>
      <w:r w:rsidRPr="00784054">
        <w:rPr>
          <w:sz w:val="18"/>
          <w:szCs w:val="18"/>
        </w:rPr>
        <w:t>, 201</w:t>
      </w:r>
      <w:r>
        <w:rPr>
          <w:sz w:val="18"/>
          <w:szCs w:val="18"/>
        </w:rPr>
        <w:t>9).</w:t>
      </w:r>
    </w:p>
  </w:footnote>
  <w:footnote w:id="11">
    <w:p w14:paraId="719CA7FC" w14:textId="2C7B32BF"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Sugar Grove, </w:t>
      </w:r>
      <w:r w:rsidRPr="00784054">
        <w:rPr>
          <w:smallCaps/>
          <w:sz w:val="18"/>
          <w:szCs w:val="18"/>
        </w:rPr>
        <w:t>Visit PA</w:t>
      </w:r>
      <w:r>
        <w:rPr>
          <w:smallCaps/>
          <w:sz w:val="18"/>
          <w:szCs w:val="18"/>
        </w:rPr>
        <w:t>,</w:t>
      </w:r>
      <w:r>
        <w:rPr>
          <w:sz w:val="18"/>
          <w:szCs w:val="18"/>
        </w:rPr>
        <w:t xml:space="preserve"> </w:t>
      </w:r>
      <w:r w:rsidRPr="00784054">
        <w:rPr>
          <w:sz w:val="18"/>
          <w:szCs w:val="18"/>
        </w:rPr>
        <w:t>https://visitpa.com/pa-historic-towns/sugar-grove</w:t>
      </w:r>
      <w:r>
        <w:rPr>
          <w:sz w:val="18"/>
          <w:szCs w:val="18"/>
        </w:rPr>
        <w:t xml:space="preserve"> (last visited May 11, 2019).</w:t>
      </w:r>
    </w:p>
  </w:footnote>
  <w:footnote w:id="12">
    <w:p w14:paraId="60F80A7D" w14:textId="77777777" w:rsidR="00F86371" w:rsidRPr="00784054" w:rsidRDefault="00F86371" w:rsidP="00D0644D">
      <w:pPr>
        <w:pStyle w:val="FootnoteText"/>
        <w:rPr>
          <w:sz w:val="18"/>
          <w:szCs w:val="18"/>
        </w:rPr>
      </w:pPr>
      <w:r w:rsidRPr="00784054">
        <w:rPr>
          <w:rStyle w:val="FootnoteReference"/>
          <w:sz w:val="18"/>
          <w:szCs w:val="18"/>
        </w:rPr>
        <w:footnoteRef/>
      </w:r>
      <w:r w:rsidRPr="00784054">
        <w:rPr>
          <w:sz w:val="18"/>
          <w:szCs w:val="18"/>
        </w:rPr>
        <w:t xml:space="preserve"> </w:t>
      </w:r>
      <w:r w:rsidRPr="00784054">
        <w:rPr>
          <w:smallCaps/>
          <w:sz w:val="18"/>
          <w:szCs w:val="18"/>
        </w:rPr>
        <w:t>Pa. Const.</w:t>
      </w:r>
      <w:r w:rsidRPr="00784054">
        <w:rPr>
          <w:sz w:val="18"/>
          <w:szCs w:val="18"/>
        </w:rPr>
        <w:t xml:space="preserve"> art. I, §27.</w:t>
      </w:r>
    </w:p>
  </w:footnote>
  <w:footnote w:id="13">
    <w:p w14:paraId="26B7512D" w14:textId="5EA18DE8" w:rsidR="00F86371" w:rsidRPr="00784054" w:rsidRDefault="00F86371" w:rsidP="00D0644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See, e.g</w:t>
      </w:r>
      <w:r>
        <w:rPr>
          <w:i/>
          <w:sz w:val="18"/>
          <w:szCs w:val="18"/>
        </w:rPr>
        <w:t>.,</w:t>
      </w:r>
      <w:r w:rsidRPr="00784054">
        <w:rPr>
          <w:i/>
          <w:sz w:val="18"/>
          <w:szCs w:val="18"/>
        </w:rPr>
        <w:t xml:space="preserve"> Source Water Protection,</w:t>
      </w:r>
      <w:r>
        <w:rPr>
          <w:smallCaps/>
          <w:sz w:val="18"/>
          <w:szCs w:val="18"/>
        </w:rPr>
        <w:t xml:space="preserve"> PA Rural Water,</w:t>
      </w:r>
      <w:r w:rsidRPr="00784054">
        <w:rPr>
          <w:sz w:val="18"/>
          <w:szCs w:val="18"/>
        </w:rPr>
        <w:t xml:space="preserve"> http://www.sourcewaterpa.org/?page_id=139</w:t>
      </w:r>
      <w:r>
        <w:rPr>
          <w:sz w:val="18"/>
          <w:szCs w:val="18"/>
        </w:rPr>
        <w:t xml:space="preserve"> (last visited May 13</w:t>
      </w:r>
      <w:r w:rsidRPr="00784054">
        <w:rPr>
          <w:sz w:val="18"/>
          <w:szCs w:val="18"/>
        </w:rPr>
        <w:t>, 201</w:t>
      </w:r>
      <w:r>
        <w:rPr>
          <w:sz w:val="18"/>
          <w:szCs w:val="18"/>
        </w:rPr>
        <w:t>9</w:t>
      </w:r>
      <w:r w:rsidRPr="00784054">
        <w:rPr>
          <w:sz w:val="18"/>
          <w:szCs w:val="18"/>
        </w:rPr>
        <w:t>)</w:t>
      </w:r>
      <w:r>
        <w:rPr>
          <w:sz w:val="18"/>
          <w:szCs w:val="18"/>
        </w:rPr>
        <w:t>.</w:t>
      </w:r>
    </w:p>
  </w:footnote>
  <w:footnote w:id="14">
    <w:p w14:paraId="24156556" w14:textId="224A962C"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Daniel Walmer, </w:t>
      </w:r>
      <w:r w:rsidRPr="00784054">
        <w:rPr>
          <w:i/>
          <w:sz w:val="18"/>
          <w:szCs w:val="18"/>
        </w:rPr>
        <w:t xml:space="preserve">Amish targeted over environmental problems, </w:t>
      </w:r>
      <w:r w:rsidRPr="00784054">
        <w:rPr>
          <w:smallCaps/>
          <w:sz w:val="18"/>
          <w:szCs w:val="18"/>
        </w:rPr>
        <w:t>Lebanon Daily News</w:t>
      </w:r>
      <w:r w:rsidRPr="00784054">
        <w:rPr>
          <w:sz w:val="18"/>
          <w:szCs w:val="18"/>
        </w:rPr>
        <w:t xml:space="preserve"> (Jan. 12, 2017, last updated 1:20 PM) </w:t>
      </w:r>
      <w:r w:rsidRPr="001550E1">
        <w:rPr>
          <w:sz w:val="18"/>
          <w:szCs w:val="18"/>
        </w:rPr>
        <w:t>https://www.ldnews.com/story/news/local/2017/01/12/amish-targeted-over-environmental-problems-chesapeake-bay/96245140/</w:t>
      </w:r>
      <w:r>
        <w:rPr>
          <w:sz w:val="18"/>
          <w:szCs w:val="18"/>
        </w:rPr>
        <w:t>.</w:t>
      </w:r>
    </w:p>
  </w:footnote>
  <w:footnote w:id="15">
    <w:p w14:paraId="301ED20E" w14:textId="440FDA0A" w:rsidR="00F86371" w:rsidRPr="00784054" w:rsidRDefault="00F86371" w:rsidP="008F1B88">
      <w:pPr>
        <w:pStyle w:val="FootnoteText"/>
        <w:rPr>
          <w:sz w:val="18"/>
          <w:szCs w:val="18"/>
        </w:rPr>
      </w:pPr>
      <w:r w:rsidRPr="00784054">
        <w:rPr>
          <w:rStyle w:val="FootnoteReference"/>
          <w:sz w:val="18"/>
          <w:szCs w:val="18"/>
        </w:rPr>
        <w:footnoteRef/>
      </w:r>
      <w:r w:rsidRPr="00784054">
        <w:rPr>
          <w:sz w:val="18"/>
          <w:szCs w:val="18"/>
        </w:rPr>
        <w:t xml:space="preserve"> </w:t>
      </w:r>
      <w:r w:rsidRPr="00784054">
        <w:rPr>
          <w:iCs/>
          <w:color w:val="353535"/>
          <w:sz w:val="18"/>
          <w:szCs w:val="18"/>
          <w:u w:color="353535"/>
        </w:rPr>
        <w:t>Sugar Grove Twp. v. Byler,</w:t>
      </w:r>
      <w:r w:rsidRPr="00784054">
        <w:rPr>
          <w:color w:val="353535"/>
          <w:sz w:val="18"/>
          <w:szCs w:val="18"/>
          <w:u w:color="353535"/>
        </w:rPr>
        <w:t xml:space="preserve"> 191 A.3d 84 (Pa. Commw. Ct. 2018).</w:t>
      </w:r>
    </w:p>
  </w:footnote>
  <w:footnote w:id="16">
    <w:p w14:paraId="3F313305" w14:textId="099A875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86.</w:t>
      </w:r>
    </w:p>
  </w:footnote>
  <w:footnote w:id="17">
    <w:p w14:paraId="0A8D08E4" w14:textId="5135E91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 xml:space="preserve">Appellant at </w:t>
      </w:r>
      <w:r>
        <w:rPr>
          <w:sz w:val="18"/>
          <w:szCs w:val="18"/>
        </w:rPr>
        <w:t>12</w:t>
      </w:r>
      <w:r w:rsidRPr="00784054">
        <w:rPr>
          <w:sz w:val="18"/>
          <w:szCs w:val="18"/>
        </w:rPr>
        <w:t xml:space="preserve">, </w:t>
      </w:r>
      <w:r w:rsidRPr="00784054">
        <w:rPr>
          <w:color w:val="353535"/>
          <w:sz w:val="18"/>
          <w:szCs w:val="18"/>
          <w:u w:color="353535"/>
        </w:rPr>
        <w:t>Sugar Grove Twp.</w:t>
      </w:r>
      <w:r w:rsidRPr="004C74E6">
        <w:rPr>
          <w:color w:val="353535"/>
          <w:sz w:val="18"/>
          <w:szCs w:val="18"/>
          <w:u w:color="353535"/>
        </w:rPr>
        <w:t xml:space="preserve"> v. Byler</w:t>
      </w:r>
      <w:r>
        <w:rPr>
          <w:color w:val="353535"/>
          <w:sz w:val="18"/>
          <w:szCs w:val="18"/>
          <w:u w:color="353535"/>
        </w:rPr>
        <w:t xml:space="preserve">, </w:t>
      </w:r>
      <w:r w:rsidRPr="00784054">
        <w:rPr>
          <w:color w:val="353535"/>
          <w:sz w:val="18"/>
          <w:szCs w:val="18"/>
          <w:u w:color="353535"/>
        </w:rPr>
        <w:t>191 A.3d 84 (Pa. Commw. Ct. 2018)</w:t>
      </w:r>
      <w:r>
        <w:rPr>
          <w:color w:val="353535"/>
          <w:sz w:val="18"/>
          <w:szCs w:val="18"/>
          <w:u w:color="353535"/>
        </w:rPr>
        <w:t xml:space="preserve"> (No. 937 of 2017).</w:t>
      </w:r>
    </w:p>
  </w:footnote>
  <w:footnote w:id="18">
    <w:p w14:paraId="58B1A2A2" w14:textId="6E45035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Pr>
          <w:i/>
          <w:color w:val="353535"/>
          <w:sz w:val="18"/>
          <w:szCs w:val="18"/>
          <w:u w:color="353535"/>
        </w:rPr>
        <w:t xml:space="preserve"> </w:t>
      </w:r>
      <w:r>
        <w:rPr>
          <w:color w:val="353535"/>
          <w:sz w:val="18"/>
          <w:szCs w:val="18"/>
          <w:u w:color="353535"/>
        </w:rPr>
        <w:t>at 7.</w:t>
      </w:r>
    </w:p>
  </w:footnote>
  <w:footnote w:id="19">
    <w:p w14:paraId="78563EE9" w14:textId="3020E3B2"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Pr>
          <w:i/>
          <w:color w:val="353535"/>
          <w:sz w:val="18"/>
          <w:szCs w:val="18"/>
          <w:u w:color="353535"/>
        </w:rPr>
        <w:t xml:space="preserve"> </w:t>
      </w:r>
      <w:r>
        <w:rPr>
          <w:color w:val="353535"/>
          <w:sz w:val="18"/>
          <w:szCs w:val="18"/>
          <w:u w:color="353535"/>
        </w:rPr>
        <w:t>at 16.</w:t>
      </w:r>
    </w:p>
  </w:footnote>
  <w:footnote w:id="20">
    <w:p w14:paraId="29A5E85E" w14:textId="2033C82E"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w:t>
      </w:r>
    </w:p>
  </w:footnote>
  <w:footnote w:id="21">
    <w:p w14:paraId="701F6DBB" w14:textId="1A060F7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p>
  </w:footnote>
  <w:footnote w:id="22">
    <w:p w14:paraId="0490EDBD" w14:textId="1CE9ED5D"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color w:val="353535"/>
          <w:sz w:val="18"/>
          <w:szCs w:val="18"/>
          <w:u w:color="353535"/>
        </w:rPr>
        <w:t xml:space="preserve">Memorandum Opinion and Order at 2, </w:t>
      </w:r>
      <w:r w:rsidRPr="00784054">
        <w:rPr>
          <w:color w:val="353535"/>
          <w:sz w:val="18"/>
          <w:szCs w:val="18"/>
          <w:u w:color="353535"/>
        </w:rPr>
        <w:t>Sugar Grove Twp.</w:t>
      </w:r>
      <w:r w:rsidRPr="004C74E6">
        <w:rPr>
          <w:color w:val="353535"/>
          <w:sz w:val="18"/>
          <w:szCs w:val="18"/>
          <w:u w:color="353535"/>
        </w:rPr>
        <w:t xml:space="preserve"> v. Byler</w:t>
      </w:r>
      <w:r>
        <w:rPr>
          <w:color w:val="353535"/>
          <w:sz w:val="18"/>
          <w:szCs w:val="18"/>
          <w:u w:color="353535"/>
        </w:rPr>
        <w:t xml:space="preserve">, </w:t>
      </w:r>
      <w:r w:rsidRPr="00784054">
        <w:rPr>
          <w:color w:val="353535"/>
          <w:sz w:val="18"/>
          <w:szCs w:val="18"/>
          <w:u w:color="353535"/>
        </w:rPr>
        <w:t>191 A.3d 84 (Pa. Commw. Ct. 2018)</w:t>
      </w:r>
      <w:r>
        <w:rPr>
          <w:color w:val="353535"/>
          <w:sz w:val="18"/>
          <w:szCs w:val="18"/>
          <w:u w:color="353535"/>
        </w:rPr>
        <w:t xml:space="preserve"> (No. 937 of 2017).</w:t>
      </w:r>
    </w:p>
  </w:footnote>
  <w:footnote w:id="23">
    <w:p w14:paraId="49D29328" w14:textId="1B5500AD"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Pr>
          <w:i/>
          <w:color w:val="353535"/>
          <w:sz w:val="18"/>
          <w:szCs w:val="18"/>
          <w:u w:color="353535"/>
        </w:rPr>
        <w:t xml:space="preserve"> </w:t>
      </w:r>
      <w:r>
        <w:rPr>
          <w:color w:val="353535"/>
          <w:sz w:val="18"/>
          <w:szCs w:val="18"/>
          <w:u w:color="353535"/>
        </w:rPr>
        <w:t>at 3.</w:t>
      </w:r>
    </w:p>
  </w:footnote>
  <w:footnote w:id="24">
    <w:p w14:paraId="6F6DA44B" w14:textId="103B43AD"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0078776A" w:rsidRPr="00784054">
        <w:rPr>
          <w:iCs/>
          <w:color w:val="353535"/>
          <w:sz w:val="18"/>
          <w:szCs w:val="18"/>
          <w:u w:color="353535"/>
        </w:rPr>
        <w:t>Sugar Grove Twp. v. Byler,</w:t>
      </w:r>
      <w:r w:rsidR="0078776A" w:rsidRPr="00784054">
        <w:rPr>
          <w:color w:val="353535"/>
          <w:sz w:val="18"/>
          <w:szCs w:val="18"/>
          <w:u w:color="353535"/>
        </w:rPr>
        <w:t xml:space="preserve"> 191 A.3d 84</w:t>
      </w:r>
      <w:r w:rsidR="0078776A">
        <w:rPr>
          <w:color w:val="353535"/>
          <w:sz w:val="18"/>
          <w:szCs w:val="18"/>
          <w:u w:color="353535"/>
        </w:rPr>
        <w:t xml:space="preserve"> </w:t>
      </w:r>
      <w:r w:rsidRPr="00784054">
        <w:rPr>
          <w:color w:val="353535"/>
          <w:sz w:val="18"/>
          <w:szCs w:val="18"/>
          <w:u w:color="353535"/>
        </w:rPr>
        <w:t>at 91.</w:t>
      </w:r>
    </w:p>
  </w:footnote>
  <w:footnote w:id="25">
    <w:p w14:paraId="78060CD5" w14:textId="56681D5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Appellant</w:t>
      </w:r>
      <w:r>
        <w:rPr>
          <w:sz w:val="18"/>
          <w:szCs w:val="18"/>
        </w:rPr>
        <w:t xml:space="preserve">, supra note 17, </w:t>
      </w:r>
      <w:r w:rsidRPr="00784054">
        <w:rPr>
          <w:sz w:val="18"/>
          <w:szCs w:val="18"/>
        </w:rPr>
        <w:t>at 21.</w:t>
      </w:r>
    </w:p>
  </w:footnote>
  <w:footnote w:id="26">
    <w:p w14:paraId="40F7F00F" w14:textId="74C027DE"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19-20.</w:t>
      </w:r>
    </w:p>
  </w:footnote>
  <w:footnote w:id="27">
    <w:p w14:paraId="270D02B9" w14:textId="54DD2022" w:rsidR="00F86371" w:rsidRPr="00784054" w:rsidRDefault="00F86371" w:rsidP="001D1934">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Sugar Grove Twp.</w:t>
      </w:r>
      <w:r w:rsidRPr="00784054">
        <w:rPr>
          <w:color w:val="353535"/>
          <w:sz w:val="18"/>
          <w:szCs w:val="18"/>
          <w:u w:color="353535"/>
        </w:rPr>
        <w:t xml:space="preserve"> at 96.</w:t>
      </w:r>
    </w:p>
  </w:footnote>
  <w:footnote w:id="28">
    <w:p w14:paraId="01978E46"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Sugar Grove Twp., Warren Co., Pa., Ordinance 93-10-1, § II(a), (Oct. 18, 1993).</w:t>
      </w:r>
    </w:p>
  </w:footnote>
  <w:footnote w:id="29">
    <w:p w14:paraId="2E39C09D"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IV-VI.</w:t>
      </w:r>
    </w:p>
  </w:footnote>
  <w:footnote w:id="30">
    <w:p w14:paraId="789F0ED1"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VII(a).</w:t>
      </w:r>
    </w:p>
  </w:footnote>
  <w:footnote w:id="31">
    <w:p w14:paraId="09084DB8"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Sugar Grove Twp., Warren Co., Pa., Ordinance 12-11-06, (Nov. 6, 2012).</w:t>
      </w:r>
    </w:p>
  </w:footnote>
  <w:footnote w:id="32">
    <w:p w14:paraId="1E9A495D"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X(c).</w:t>
      </w:r>
    </w:p>
  </w:footnote>
  <w:footnote w:id="33">
    <w:p w14:paraId="1FFD2D22" w14:textId="77777777"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XIII.</w:t>
      </w:r>
    </w:p>
  </w:footnote>
  <w:footnote w:id="34">
    <w:p w14:paraId="4EB93B9B" w14:textId="228C4DD8"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XIV.</w:t>
      </w:r>
    </w:p>
  </w:footnote>
  <w:footnote w:id="35">
    <w:p w14:paraId="1367DDCA" w14:textId="59E4FED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0078776A" w:rsidRPr="00784054">
        <w:rPr>
          <w:iCs/>
          <w:color w:val="353535"/>
          <w:sz w:val="18"/>
          <w:szCs w:val="18"/>
          <w:u w:color="353535"/>
        </w:rPr>
        <w:t>Sugar Grove Twp. v. Byler,</w:t>
      </w:r>
      <w:r w:rsidR="0078776A" w:rsidRPr="00784054">
        <w:rPr>
          <w:color w:val="353535"/>
          <w:sz w:val="18"/>
          <w:szCs w:val="18"/>
          <w:u w:color="353535"/>
        </w:rPr>
        <w:t xml:space="preserve"> 191 A.3d 84 </w:t>
      </w:r>
      <w:r w:rsidRPr="00784054">
        <w:rPr>
          <w:color w:val="353535"/>
          <w:sz w:val="18"/>
          <w:szCs w:val="18"/>
          <w:u w:color="353535"/>
        </w:rPr>
        <w:t xml:space="preserve">at </w:t>
      </w:r>
      <w:r>
        <w:rPr>
          <w:color w:val="353535"/>
          <w:sz w:val="18"/>
          <w:szCs w:val="18"/>
          <w:u w:color="353535"/>
        </w:rPr>
        <w:t>8</w:t>
      </w:r>
      <w:r w:rsidRPr="00784054">
        <w:rPr>
          <w:color w:val="353535"/>
          <w:sz w:val="18"/>
          <w:szCs w:val="18"/>
          <w:u w:color="353535"/>
        </w:rPr>
        <w:t>6.</w:t>
      </w:r>
    </w:p>
  </w:footnote>
  <w:footnote w:id="36">
    <w:p w14:paraId="07824AA0" w14:textId="10B493E5"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Pr>
          <w:i/>
          <w:sz w:val="18"/>
          <w:szCs w:val="18"/>
        </w:rPr>
        <w:t xml:space="preserve">Id. </w:t>
      </w:r>
      <w:r>
        <w:rPr>
          <w:sz w:val="18"/>
          <w:szCs w:val="18"/>
        </w:rPr>
        <w:t>at 89.</w:t>
      </w:r>
    </w:p>
  </w:footnote>
  <w:footnote w:id="37">
    <w:p w14:paraId="2C758650" w14:textId="3B77C02C"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Appellant</w:t>
      </w:r>
      <w:r>
        <w:rPr>
          <w:sz w:val="18"/>
          <w:szCs w:val="18"/>
        </w:rPr>
        <w:t xml:space="preserve">, supra note 17, </w:t>
      </w:r>
      <w:r w:rsidRPr="00784054">
        <w:rPr>
          <w:sz w:val="18"/>
          <w:szCs w:val="18"/>
        </w:rPr>
        <w:t xml:space="preserve">at </w:t>
      </w:r>
      <w:r>
        <w:rPr>
          <w:sz w:val="18"/>
          <w:szCs w:val="18"/>
        </w:rPr>
        <w:t>12</w:t>
      </w:r>
      <w:r w:rsidRPr="00784054">
        <w:rPr>
          <w:sz w:val="18"/>
          <w:szCs w:val="18"/>
        </w:rPr>
        <w:t>.</w:t>
      </w:r>
    </w:p>
  </w:footnote>
  <w:footnote w:id="38">
    <w:p w14:paraId="33AE68A8" w14:textId="458E6A3D"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Pr>
          <w:sz w:val="18"/>
          <w:szCs w:val="18"/>
        </w:rPr>
        <w:t>at</w:t>
      </w:r>
      <w:r w:rsidRPr="00784054">
        <w:rPr>
          <w:i/>
          <w:sz w:val="18"/>
          <w:szCs w:val="18"/>
        </w:rPr>
        <w:t xml:space="preserve"> </w:t>
      </w:r>
      <w:r w:rsidRPr="00784054">
        <w:rPr>
          <w:sz w:val="18"/>
          <w:szCs w:val="18"/>
        </w:rPr>
        <w:t>1</w:t>
      </w:r>
      <w:r>
        <w:rPr>
          <w:sz w:val="18"/>
          <w:szCs w:val="18"/>
        </w:rPr>
        <w:t>4</w:t>
      </w:r>
      <w:r w:rsidRPr="00784054">
        <w:rPr>
          <w:sz w:val="18"/>
          <w:szCs w:val="18"/>
        </w:rPr>
        <w:t>.</w:t>
      </w:r>
    </w:p>
  </w:footnote>
  <w:footnote w:id="39">
    <w:p w14:paraId="44F1B458" w14:textId="5C898D76" w:rsidR="00F86371" w:rsidRPr="00784054" w:rsidRDefault="00F86371" w:rsidP="00350F63">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40">
    <w:p w14:paraId="68D0FCC8" w14:textId="007E865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Sugar Grove Twp.</w:t>
      </w:r>
      <w:r w:rsidRPr="00784054">
        <w:rPr>
          <w:color w:val="353535"/>
          <w:sz w:val="18"/>
          <w:szCs w:val="18"/>
          <w:u w:color="353535"/>
        </w:rPr>
        <w:t xml:space="preserve"> at </w:t>
      </w:r>
      <w:r>
        <w:rPr>
          <w:color w:val="353535"/>
          <w:sz w:val="18"/>
          <w:szCs w:val="18"/>
          <w:u w:color="353535"/>
        </w:rPr>
        <w:t>87</w:t>
      </w:r>
      <w:r w:rsidRPr="00784054">
        <w:rPr>
          <w:color w:val="353535"/>
          <w:sz w:val="18"/>
          <w:szCs w:val="18"/>
          <w:u w:color="353535"/>
        </w:rPr>
        <w:t>.</w:t>
      </w:r>
    </w:p>
  </w:footnote>
  <w:footnote w:id="41">
    <w:p w14:paraId="2CDCD561" w14:textId="3A5A390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p>
  </w:footnote>
  <w:footnote w:id="42">
    <w:p w14:paraId="0EAA797D" w14:textId="47A592B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p>
  </w:footnote>
  <w:footnote w:id="43">
    <w:p w14:paraId="55E3BCD4" w14:textId="6B307B1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p>
  </w:footnote>
  <w:footnote w:id="44">
    <w:p w14:paraId="1D4D46CA" w14:textId="240ECEB6"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Appellant</w:t>
      </w:r>
      <w:r>
        <w:rPr>
          <w:sz w:val="18"/>
          <w:szCs w:val="18"/>
        </w:rPr>
        <w:t xml:space="preserve">, supra note 17, </w:t>
      </w:r>
      <w:r w:rsidRPr="00784054">
        <w:rPr>
          <w:sz w:val="18"/>
          <w:szCs w:val="18"/>
        </w:rPr>
        <w:t xml:space="preserve">at </w:t>
      </w:r>
      <w:r>
        <w:rPr>
          <w:sz w:val="18"/>
          <w:szCs w:val="18"/>
        </w:rPr>
        <w:t>8.</w:t>
      </w:r>
    </w:p>
  </w:footnote>
  <w:footnote w:id="45">
    <w:p w14:paraId="0CE3B05F" w14:textId="10CFAEA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p>
  </w:footnote>
  <w:footnote w:id="46">
    <w:p w14:paraId="709B875F" w14:textId="31B56CC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 xml:space="preserve"> at </w:t>
      </w:r>
      <w:r>
        <w:rPr>
          <w:color w:val="353535"/>
          <w:sz w:val="18"/>
          <w:szCs w:val="18"/>
          <w:u w:color="353535"/>
        </w:rPr>
        <w:t>17.</w:t>
      </w:r>
    </w:p>
  </w:footnote>
  <w:footnote w:id="47">
    <w:p w14:paraId="510ADC64" w14:textId="6A84E28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 xml:space="preserve"> at </w:t>
      </w:r>
      <w:r>
        <w:rPr>
          <w:color w:val="353535"/>
          <w:sz w:val="18"/>
          <w:szCs w:val="18"/>
          <w:u w:color="353535"/>
        </w:rPr>
        <w:t>16-18</w:t>
      </w:r>
    </w:p>
  </w:footnote>
  <w:footnote w:id="48">
    <w:p w14:paraId="468A0579" w14:textId="038E8D7E" w:rsidR="00F86371" w:rsidRPr="00784054" w:rsidRDefault="00F86371" w:rsidP="00AF4D69">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sidRPr="00784054">
        <w:rPr>
          <w:sz w:val="18"/>
          <w:szCs w:val="18"/>
        </w:rPr>
        <w:t>at</w:t>
      </w:r>
      <w:r>
        <w:rPr>
          <w:sz w:val="18"/>
          <w:szCs w:val="18"/>
        </w:rPr>
        <w:t xml:space="preserve"> </w:t>
      </w:r>
      <w:r w:rsidRPr="00784054">
        <w:rPr>
          <w:sz w:val="18"/>
          <w:szCs w:val="18"/>
        </w:rPr>
        <w:t>16.</w:t>
      </w:r>
    </w:p>
  </w:footnote>
  <w:footnote w:id="49">
    <w:p w14:paraId="3800C049" w14:textId="77777777" w:rsidR="00F86371" w:rsidRPr="00784054" w:rsidRDefault="00F86371" w:rsidP="00AF4D69">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50">
    <w:p w14:paraId="0FDD7562" w14:textId="77777777" w:rsidR="00F86371" w:rsidRPr="00784054" w:rsidRDefault="00F86371" w:rsidP="00AF4D69">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51">
    <w:p w14:paraId="3DECE14E" w14:textId="77777777" w:rsidR="00F86371" w:rsidRPr="00784054" w:rsidRDefault="00F86371" w:rsidP="00AF4D69">
      <w:pPr>
        <w:rPr>
          <w:sz w:val="18"/>
          <w:szCs w:val="18"/>
        </w:rPr>
      </w:pPr>
      <w:r w:rsidRPr="00784054">
        <w:rPr>
          <w:rStyle w:val="FootnoteReference"/>
          <w:sz w:val="18"/>
          <w:szCs w:val="18"/>
        </w:rPr>
        <w:footnoteRef/>
      </w:r>
      <w:r w:rsidRPr="00784054">
        <w:rPr>
          <w:sz w:val="18"/>
          <w:szCs w:val="18"/>
        </w:rPr>
        <w:t xml:space="preserve"> </w:t>
      </w:r>
      <w:r w:rsidRPr="00784054">
        <w:rPr>
          <w:color w:val="000000"/>
          <w:sz w:val="18"/>
          <w:szCs w:val="18"/>
        </w:rPr>
        <w:t>1 Pa. Stat. and Cons. Stat. Ann. § 1926 (West).</w:t>
      </w:r>
    </w:p>
  </w:footnote>
  <w:footnote w:id="52">
    <w:p w14:paraId="438C49B9" w14:textId="620E34F5" w:rsidR="00F86371" w:rsidRPr="00784054" w:rsidRDefault="00F86371" w:rsidP="00AF4D69">
      <w:pPr>
        <w:pStyle w:val="FootnoteText"/>
        <w:rPr>
          <w:i/>
          <w:sz w:val="18"/>
          <w:szCs w:val="18"/>
        </w:rPr>
      </w:pPr>
      <w:r w:rsidRPr="00784054">
        <w:rPr>
          <w:rStyle w:val="FootnoteReference"/>
          <w:sz w:val="18"/>
          <w:szCs w:val="18"/>
        </w:rPr>
        <w:footnoteRef/>
      </w:r>
      <w:r w:rsidRPr="00784054">
        <w:rPr>
          <w:sz w:val="18"/>
          <w:szCs w:val="18"/>
        </w:rPr>
        <w:t xml:space="preserve"> </w:t>
      </w:r>
      <w:r w:rsidR="00C00CC6">
        <w:rPr>
          <w:sz w:val="18"/>
          <w:szCs w:val="18"/>
        </w:rPr>
        <w:t xml:space="preserve">Brief for the </w:t>
      </w:r>
      <w:r w:rsidR="00C00CC6" w:rsidRPr="00784054">
        <w:rPr>
          <w:sz w:val="18"/>
          <w:szCs w:val="18"/>
        </w:rPr>
        <w:t>Appellant</w:t>
      </w:r>
      <w:r w:rsidR="00C00CC6">
        <w:rPr>
          <w:sz w:val="18"/>
          <w:szCs w:val="18"/>
        </w:rPr>
        <w:t xml:space="preserve">, supra note 17, </w:t>
      </w:r>
      <w:r w:rsidRPr="00784054">
        <w:rPr>
          <w:sz w:val="18"/>
          <w:szCs w:val="18"/>
        </w:rPr>
        <w:t>at 1</w:t>
      </w:r>
      <w:r w:rsidRPr="00EE0054">
        <w:rPr>
          <w:sz w:val="18"/>
          <w:szCs w:val="18"/>
        </w:rPr>
        <w:t>7</w:t>
      </w:r>
      <w:r w:rsidRPr="00784054">
        <w:rPr>
          <w:sz w:val="18"/>
          <w:szCs w:val="18"/>
        </w:rPr>
        <w:t>.</w:t>
      </w:r>
    </w:p>
  </w:footnote>
  <w:footnote w:id="53">
    <w:p w14:paraId="1071B87E" w14:textId="0D9E201A" w:rsidR="00F86371" w:rsidRPr="00784054" w:rsidRDefault="00F86371" w:rsidP="00AF4D69">
      <w:pPr>
        <w:pStyle w:val="FootnoteText"/>
        <w:rPr>
          <w:sz w:val="18"/>
          <w:szCs w:val="18"/>
        </w:rPr>
      </w:pPr>
      <w:r w:rsidRPr="00784054">
        <w:rPr>
          <w:rStyle w:val="FootnoteReference"/>
          <w:sz w:val="18"/>
          <w:szCs w:val="18"/>
        </w:rPr>
        <w:footnoteRef/>
      </w:r>
      <w:r w:rsidRPr="00784054">
        <w:rPr>
          <w:sz w:val="18"/>
          <w:szCs w:val="18"/>
        </w:rPr>
        <w:t xml:space="preserve"> </w:t>
      </w:r>
      <w:r w:rsidRPr="00784054">
        <w:rPr>
          <w:color w:val="373739"/>
          <w:sz w:val="18"/>
          <w:szCs w:val="18"/>
          <w:bdr w:val="none" w:sz="0" w:space="0" w:color="auto" w:frame="1"/>
        </w:rPr>
        <w:t>Appeal of Sawdey</w:t>
      </w:r>
      <w:r w:rsidRPr="00784054">
        <w:rPr>
          <w:color w:val="373739"/>
          <w:sz w:val="18"/>
          <w:szCs w:val="18"/>
          <w:shd w:val="clear" w:color="auto" w:fill="FFFFFF"/>
        </w:rPr>
        <w:t>, 85 A.2d 28 (</w:t>
      </w:r>
      <w:r w:rsidRPr="00EE0054">
        <w:rPr>
          <w:color w:val="373739"/>
          <w:sz w:val="18"/>
          <w:szCs w:val="18"/>
          <w:shd w:val="clear" w:color="auto" w:fill="FFFFFF"/>
        </w:rPr>
        <w:t xml:space="preserve">Pa. </w:t>
      </w:r>
      <w:r w:rsidRPr="00784054">
        <w:rPr>
          <w:color w:val="373739"/>
          <w:sz w:val="18"/>
          <w:szCs w:val="18"/>
          <w:shd w:val="clear" w:color="auto" w:fill="FFFFFF"/>
        </w:rPr>
        <w:t>1951).</w:t>
      </w:r>
    </w:p>
  </w:footnote>
  <w:footnote w:id="54">
    <w:p w14:paraId="5739B442" w14:textId="373B7D35" w:rsidR="00F86371" w:rsidRPr="00784054" w:rsidRDefault="00F86371" w:rsidP="00D905FB">
      <w:pPr>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30.</w:t>
      </w:r>
    </w:p>
  </w:footnote>
  <w:footnote w:id="55">
    <w:p w14:paraId="33596664" w14:textId="6CB7F3EB"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EE0054">
        <w:rPr>
          <w:sz w:val="18"/>
          <w:szCs w:val="18"/>
        </w:rPr>
        <w:t xml:space="preserve">Brief for the </w:t>
      </w:r>
      <w:r w:rsidRPr="00784054">
        <w:rPr>
          <w:sz w:val="18"/>
          <w:szCs w:val="18"/>
        </w:rPr>
        <w:t>Appellant</w:t>
      </w:r>
      <w:r w:rsidRPr="00EE0054">
        <w:rPr>
          <w:sz w:val="18"/>
          <w:szCs w:val="18"/>
        </w:rPr>
        <w:t xml:space="preserve">, supra note 17, </w:t>
      </w:r>
      <w:r w:rsidRPr="00784054">
        <w:rPr>
          <w:sz w:val="18"/>
          <w:szCs w:val="18"/>
        </w:rPr>
        <w:t>at 12.</w:t>
      </w:r>
    </w:p>
  </w:footnote>
  <w:footnote w:id="56">
    <w:p w14:paraId="4752C396" w14:textId="714A477E" w:rsidR="00F86371" w:rsidRPr="00EE0054" w:rsidRDefault="00F86371" w:rsidP="00350F63">
      <w:pPr>
        <w:pStyle w:val="FootnoteText"/>
        <w:rPr>
          <w:sz w:val="18"/>
          <w:szCs w:val="18"/>
        </w:rPr>
      </w:pPr>
      <w:r w:rsidRPr="00EE0054">
        <w:rPr>
          <w:rStyle w:val="FootnoteReference"/>
          <w:sz w:val="18"/>
          <w:szCs w:val="18"/>
        </w:rPr>
        <w:footnoteRef/>
      </w:r>
      <w:r w:rsidRPr="00EE0054">
        <w:rPr>
          <w:sz w:val="18"/>
          <w:szCs w:val="18"/>
        </w:rPr>
        <w:t xml:space="preserve"> </w:t>
      </w:r>
      <w:r w:rsidRPr="00EE0054">
        <w:rPr>
          <w:i/>
          <w:sz w:val="18"/>
          <w:szCs w:val="18"/>
        </w:rPr>
        <w:t xml:space="preserve">Id. </w:t>
      </w:r>
      <w:r w:rsidRPr="00EE0054">
        <w:rPr>
          <w:sz w:val="18"/>
          <w:szCs w:val="18"/>
        </w:rPr>
        <w:t>at 7.</w:t>
      </w:r>
    </w:p>
  </w:footnote>
  <w:footnote w:id="57">
    <w:p w14:paraId="27EBE083" w14:textId="23F4064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EE0054">
        <w:rPr>
          <w:color w:val="353535"/>
          <w:sz w:val="18"/>
          <w:szCs w:val="18"/>
          <w:u w:color="353535"/>
        </w:rPr>
        <w:t>Memorandum Opinion and Order, supra note 57,  at 1.</w:t>
      </w:r>
    </w:p>
  </w:footnote>
  <w:footnote w:id="58">
    <w:p w14:paraId="55C21827" w14:textId="1AC8456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 xml:space="preserve"> at </w:t>
      </w:r>
      <w:r w:rsidRPr="00EE0054">
        <w:rPr>
          <w:color w:val="353535"/>
          <w:sz w:val="18"/>
          <w:szCs w:val="18"/>
          <w:u w:color="353535"/>
        </w:rPr>
        <w:t>8</w:t>
      </w:r>
      <w:r w:rsidRPr="00784054">
        <w:rPr>
          <w:color w:val="353535"/>
          <w:sz w:val="18"/>
          <w:szCs w:val="18"/>
          <w:u w:color="353535"/>
        </w:rPr>
        <w:t>.</w:t>
      </w:r>
    </w:p>
  </w:footnote>
  <w:footnote w:id="59">
    <w:p w14:paraId="60FA6EB4" w14:textId="21031EAB" w:rsidR="00F86371" w:rsidRPr="00784054" w:rsidRDefault="00F86371" w:rsidP="0033268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w:t>
      </w:r>
      <w:r>
        <w:rPr>
          <w:sz w:val="18"/>
          <w:szCs w:val="18"/>
        </w:rPr>
        <w:t>7</w:t>
      </w:r>
      <w:r w:rsidRPr="00784054">
        <w:rPr>
          <w:sz w:val="18"/>
          <w:szCs w:val="18"/>
        </w:rPr>
        <w:t>.</w:t>
      </w:r>
    </w:p>
  </w:footnote>
  <w:footnote w:id="60">
    <w:p w14:paraId="3D67144B" w14:textId="63592B9C"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w:t>
      </w:r>
      <w:r>
        <w:rPr>
          <w:sz w:val="18"/>
          <w:szCs w:val="18"/>
        </w:rPr>
        <w:t>4</w:t>
      </w:r>
      <w:r w:rsidRPr="00784054">
        <w:rPr>
          <w:sz w:val="18"/>
          <w:szCs w:val="18"/>
        </w:rPr>
        <w:t>.</w:t>
      </w:r>
    </w:p>
  </w:footnote>
  <w:footnote w:id="61">
    <w:p w14:paraId="7F7011AE" w14:textId="562B4E5B"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w:t>
      </w:r>
      <w:r>
        <w:rPr>
          <w:sz w:val="18"/>
          <w:szCs w:val="18"/>
        </w:rPr>
        <w:t xml:space="preserve"> at 6.</w:t>
      </w:r>
    </w:p>
  </w:footnote>
  <w:footnote w:id="62">
    <w:p w14:paraId="7B94068E" w14:textId="700E068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36.</w:t>
      </w:r>
    </w:p>
  </w:footnote>
  <w:footnote w:id="63">
    <w:p w14:paraId="5E30B24C" w14:textId="655EC1C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0078776A" w:rsidRPr="00784054">
        <w:rPr>
          <w:iCs/>
          <w:color w:val="353535"/>
          <w:sz w:val="18"/>
          <w:szCs w:val="18"/>
          <w:u w:color="353535"/>
        </w:rPr>
        <w:t>Sugar Grove Twp. v. Byler,</w:t>
      </w:r>
      <w:r w:rsidR="0078776A" w:rsidRPr="00784054">
        <w:rPr>
          <w:color w:val="353535"/>
          <w:sz w:val="18"/>
          <w:szCs w:val="18"/>
          <w:u w:color="353535"/>
        </w:rPr>
        <w:t xml:space="preserve"> 191 A.3d 84 </w:t>
      </w:r>
      <w:r w:rsidRPr="00F86371">
        <w:rPr>
          <w:iCs/>
          <w:sz w:val="18"/>
          <w:szCs w:val="18"/>
        </w:rPr>
        <w:t>at</w:t>
      </w:r>
      <w:r>
        <w:rPr>
          <w:sz w:val="18"/>
          <w:szCs w:val="18"/>
        </w:rPr>
        <w:t xml:space="preserve"> 91</w:t>
      </w:r>
      <w:r w:rsidRPr="00784054">
        <w:rPr>
          <w:sz w:val="18"/>
          <w:szCs w:val="18"/>
        </w:rPr>
        <w:t>.</w:t>
      </w:r>
    </w:p>
  </w:footnote>
  <w:footnote w:id="64">
    <w:p w14:paraId="3155141A" w14:textId="76A13E6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i/>
          <w:sz w:val="18"/>
          <w:szCs w:val="18"/>
        </w:rPr>
        <w:t xml:space="preserve">Id. </w:t>
      </w:r>
      <w:r>
        <w:rPr>
          <w:sz w:val="18"/>
          <w:szCs w:val="18"/>
        </w:rPr>
        <w:t xml:space="preserve"> at 92.</w:t>
      </w:r>
    </w:p>
  </w:footnote>
  <w:footnote w:id="65">
    <w:p w14:paraId="4AB518F5" w14:textId="3F322BFD"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 xml:space="preserve"> </w:t>
      </w:r>
      <w:r>
        <w:rPr>
          <w:sz w:val="18"/>
          <w:szCs w:val="18"/>
        </w:rPr>
        <w:t>at 95.</w:t>
      </w:r>
    </w:p>
  </w:footnote>
  <w:footnote w:id="66">
    <w:p w14:paraId="517E20ED" w14:textId="4704794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Appellant</w:t>
      </w:r>
      <w:r>
        <w:rPr>
          <w:sz w:val="18"/>
          <w:szCs w:val="18"/>
        </w:rPr>
        <w:t xml:space="preserve">, supra note 17, </w:t>
      </w:r>
      <w:r w:rsidRPr="00784054">
        <w:rPr>
          <w:color w:val="353535"/>
          <w:sz w:val="18"/>
          <w:szCs w:val="18"/>
          <w:u w:color="353535"/>
        </w:rPr>
        <w:t xml:space="preserve">at </w:t>
      </w:r>
      <w:r>
        <w:rPr>
          <w:color w:val="353535"/>
          <w:sz w:val="18"/>
          <w:szCs w:val="18"/>
          <w:u w:color="353535"/>
        </w:rPr>
        <w:t>11-15</w:t>
      </w:r>
      <w:r w:rsidRPr="00784054">
        <w:rPr>
          <w:color w:val="353535"/>
          <w:sz w:val="18"/>
          <w:szCs w:val="18"/>
          <w:u w:color="353535"/>
        </w:rPr>
        <w:t>.</w:t>
      </w:r>
    </w:p>
  </w:footnote>
  <w:footnote w:id="67">
    <w:p w14:paraId="0E67D98B" w14:textId="668D682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 xml:space="preserve">Id. </w:t>
      </w:r>
      <w:r>
        <w:rPr>
          <w:color w:val="353535"/>
          <w:sz w:val="18"/>
          <w:szCs w:val="18"/>
          <w:u w:color="353535"/>
        </w:rPr>
        <w:t>at 15-18.</w:t>
      </w:r>
    </w:p>
  </w:footnote>
  <w:footnote w:id="68">
    <w:p w14:paraId="36224977" w14:textId="6EEF6F5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604B73">
        <w:rPr>
          <w:i/>
          <w:sz w:val="18"/>
          <w:szCs w:val="18"/>
        </w:rPr>
        <w:t>Id.</w:t>
      </w:r>
    </w:p>
  </w:footnote>
  <w:footnote w:id="69">
    <w:p w14:paraId="6113C8DB" w14:textId="35920D4D"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w:t>
      </w:r>
      <w:r>
        <w:rPr>
          <w:color w:val="353535"/>
          <w:sz w:val="18"/>
          <w:szCs w:val="18"/>
          <w:u w:color="353535"/>
        </w:rPr>
        <w:t xml:space="preserve"> at 18-20.</w:t>
      </w:r>
    </w:p>
  </w:footnote>
  <w:footnote w:id="70">
    <w:p w14:paraId="49B16579" w14:textId="43E5CF69"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w:t>
      </w:r>
      <w:r>
        <w:rPr>
          <w:color w:val="353535"/>
          <w:sz w:val="18"/>
          <w:szCs w:val="18"/>
          <w:u w:color="353535"/>
        </w:rPr>
        <w:t xml:space="preserve"> at 20-25.</w:t>
      </w:r>
    </w:p>
  </w:footnote>
  <w:footnote w:id="71">
    <w:p w14:paraId="19D7DE4B" w14:textId="7E53DC78"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w:t>
      </w:r>
      <w:r w:rsidRPr="00784054">
        <w:rPr>
          <w:i/>
          <w:color w:val="353535"/>
          <w:sz w:val="18"/>
          <w:szCs w:val="18"/>
          <w:u w:color="353535"/>
        </w:rPr>
        <w:t xml:space="preserve"> </w:t>
      </w:r>
      <w:r w:rsidRPr="00784054">
        <w:rPr>
          <w:color w:val="353535"/>
          <w:sz w:val="18"/>
          <w:szCs w:val="18"/>
          <w:u w:color="353535"/>
        </w:rPr>
        <w:t>at 24.</w:t>
      </w:r>
    </w:p>
  </w:footnote>
  <w:footnote w:id="72">
    <w:p w14:paraId="4B5CC23B" w14:textId="12318462" w:rsidR="00F86371" w:rsidRDefault="00F86371">
      <w:pPr>
        <w:pStyle w:val="FootnoteText"/>
      </w:pPr>
      <w:r w:rsidRPr="00784054">
        <w:rPr>
          <w:rStyle w:val="FootnoteReference"/>
          <w:sz w:val="18"/>
          <w:szCs w:val="18"/>
        </w:rPr>
        <w:footnoteRef/>
      </w:r>
      <w:r w:rsidRPr="00784054">
        <w:rPr>
          <w:sz w:val="18"/>
          <w:szCs w:val="18"/>
        </w:rPr>
        <w:t xml:space="preserve"> </w:t>
      </w:r>
      <w:r w:rsidRPr="00784054">
        <w:rPr>
          <w:iCs/>
          <w:sz w:val="18"/>
          <w:szCs w:val="18"/>
        </w:rPr>
        <w:t>Sugar Grove Twp.,</w:t>
      </w:r>
      <w:r w:rsidRPr="00784054">
        <w:rPr>
          <w:i/>
          <w:sz w:val="18"/>
          <w:szCs w:val="18"/>
        </w:rPr>
        <w:t xml:space="preserve"> </w:t>
      </w:r>
      <w:r w:rsidRPr="00784054">
        <w:rPr>
          <w:sz w:val="18"/>
          <w:szCs w:val="18"/>
        </w:rPr>
        <w:t>191 A.3d 84</w:t>
      </w:r>
      <w:r>
        <w:rPr>
          <w:sz w:val="18"/>
          <w:szCs w:val="18"/>
        </w:rPr>
        <w:t>, 84</w:t>
      </w:r>
      <w:r w:rsidRPr="00784054">
        <w:rPr>
          <w:sz w:val="18"/>
          <w:szCs w:val="18"/>
        </w:rPr>
        <w:t>.</w:t>
      </w:r>
    </w:p>
  </w:footnote>
  <w:footnote w:id="73">
    <w:p w14:paraId="4933B9F4" w14:textId="0CEFC116" w:rsidR="00F86371" w:rsidRDefault="00F86371">
      <w:pPr>
        <w:pStyle w:val="FootnoteText"/>
      </w:pPr>
      <w:r>
        <w:rPr>
          <w:rStyle w:val="FootnoteReference"/>
        </w:rPr>
        <w:footnoteRef/>
      </w:r>
      <w:r>
        <w:t xml:space="preserve"> </w:t>
      </w:r>
      <w:r w:rsidRPr="00CF1523">
        <w:rPr>
          <w:i/>
          <w:color w:val="353535"/>
          <w:sz w:val="18"/>
          <w:szCs w:val="18"/>
          <w:u w:color="353535"/>
        </w:rPr>
        <w:t>Id</w:t>
      </w:r>
      <w:r w:rsidRPr="00CF1523">
        <w:rPr>
          <w:color w:val="353535"/>
          <w:sz w:val="18"/>
          <w:szCs w:val="18"/>
          <w:u w:color="353535"/>
        </w:rPr>
        <w:t>.</w:t>
      </w:r>
      <w:r w:rsidRPr="00CF1523">
        <w:rPr>
          <w:i/>
          <w:color w:val="353535"/>
          <w:sz w:val="18"/>
          <w:szCs w:val="18"/>
          <w:u w:color="353535"/>
        </w:rPr>
        <w:t xml:space="preserve"> </w:t>
      </w:r>
      <w:r w:rsidRPr="00CF1523">
        <w:rPr>
          <w:color w:val="353535"/>
          <w:sz w:val="18"/>
          <w:szCs w:val="18"/>
          <w:u w:color="353535"/>
        </w:rPr>
        <w:t xml:space="preserve">at </w:t>
      </w:r>
      <w:r>
        <w:rPr>
          <w:color w:val="353535"/>
          <w:sz w:val="18"/>
          <w:szCs w:val="18"/>
          <w:u w:color="353535"/>
        </w:rPr>
        <w:t xml:space="preserve">96, </w:t>
      </w:r>
      <w:r w:rsidRPr="00CF1523">
        <w:rPr>
          <w:color w:val="353535"/>
          <w:sz w:val="18"/>
          <w:szCs w:val="18"/>
          <w:u w:color="353535"/>
        </w:rPr>
        <w:t>97.</w:t>
      </w:r>
    </w:p>
  </w:footnote>
  <w:footnote w:id="74">
    <w:p w14:paraId="773FC222" w14:textId="504D2319" w:rsidR="00F86371" w:rsidRPr="005C7708" w:rsidRDefault="00F86371">
      <w:pPr>
        <w:pStyle w:val="FootnoteText"/>
      </w:pPr>
      <w:r>
        <w:rPr>
          <w:rStyle w:val="FootnoteReference"/>
        </w:rPr>
        <w:footnoteRef/>
      </w:r>
      <w:r>
        <w:t xml:space="preserve"> </w:t>
      </w:r>
      <w:r>
        <w:rPr>
          <w:i/>
        </w:rPr>
        <w:t>Id.</w:t>
      </w:r>
      <w:r>
        <w:t xml:space="preserve"> at 98.</w:t>
      </w:r>
    </w:p>
  </w:footnote>
  <w:footnote w:id="75">
    <w:p w14:paraId="0A32C6D4" w14:textId="6AD14937" w:rsidR="00F86371" w:rsidRDefault="00F86371">
      <w:pPr>
        <w:pStyle w:val="FootnoteText"/>
      </w:pPr>
      <w:r>
        <w:rPr>
          <w:rStyle w:val="FootnoteReference"/>
        </w:rPr>
        <w:footnoteRef/>
      </w:r>
      <w:r>
        <w:t xml:space="preserve"> </w:t>
      </w:r>
      <w:r w:rsidRPr="00CF1523">
        <w:rPr>
          <w:i/>
          <w:color w:val="353535"/>
          <w:sz w:val="18"/>
          <w:szCs w:val="18"/>
          <w:u w:color="353535"/>
        </w:rPr>
        <w:t>Id</w:t>
      </w:r>
      <w:r w:rsidRPr="00CF1523">
        <w:rPr>
          <w:color w:val="353535"/>
          <w:sz w:val="18"/>
          <w:szCs w:val="18"/>
          <w:u w:color="353535"/>
        </w:rPr>
        <w:t>.</w:t>
      </w:r>
    </w:p>
  </w:footnote>
  <w:footnote w:id="76">
    <w:p w14:paraId="00195880" w14:textId="3E4214F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color w:val="353535"/>
          <w:sz w:val="18"/>
          <w:szCs w:val="18"/>
          <w:u w:color="353535"/>
        </w:rPr>
        <w:t>Id</w:t>
      </w:r>
      <w:r w:rsidRPr="00784054">
        <w:rPr>
          <w:color w:val="353535"/>
          <w:sz w:val="18"/>
          <w:szCs w:val="18"/>
          <w:u w:color="353535"/>
        </w:rPr>
        <w:t>.</w:t>
      </w:r>
      <w:r w:rsidRPr="00784054">
        <w:rPr>
          <w:i/>
          <w:color w:val="353535"/>
          <w:sz w:val="18"/>
          <w:szCs w:val="18"/>
          <w:u w:color="353535"/>
        </w:rPr>
        <w:t xml:space="preserve"> </w:t>
      </w:r>
      <w:r w:rsidRPr="00784054">
        <w:rPr>
          <w:color w:val="353535"/>
          <w:sz w:val="18"/>
          <w:szCs w:val="18"/>
          <w:u w:color="353535"/>
        </w:rPr>
        <w:t>at 9</w:t>
      </w:r>
      <w:r>
        <w:rPr>
          <w:color w:val="353535"/>
          <w:sz w:val="18"/>
          <w:szCs w:val="18"/>
          <w:u w:color="353535"/>
        </w:rPr>
        <w:t>8-99</w:t>
      </w:r>
      <w:r w:rsidRPr="00784054">
        <w:rPr>
          <w:color w:val="353535"/>
          <w:sz w:val="18"/>
          <w:szCs w:val="18"/>
          <w:u w:color="353535"/>
        </w:rPr>
        <w:t>.</w:t>
      </w:r>
    </w:p>
  </w:footnote>
  <w:footnote w:id="77">
    <w:p w14:paraId="24E11C92" w14:textId="5144A16A" w:rsidR="00F86371" w:rsidRDefault="00F86371">
      <w:pPr>
        <w:pStyle w:val="FootnoteText"/>
      </w:pPr>
      <w:r>
        <w:rPr>
          <w:rStyle w:val="FootnoteReference"/>
        </w:rPr>
        <w:footnoteRef/>
      </w:r>
      <w:r>
        <w:t xml:space="preserve"> </w:t>
      </w:r>
      <w:r w:rsidRPr="00CF1523">
        <w:rPr>
          <w:i/>
          <w:color w:val="353535"/>
          <w:sz w:val="18"/>
          <w:szCs w:val="18"/>
          <w:u w:color="353535"/>
        </w:rPr>
        <w:t>Id</w:t>
      </w:r>
      <w:r w:rsidRPr="00CF1523">
        <w:rPr>
          <w:color w:val="353535"/>
          <w:sz w:val="18"/>
          <w:szCs w:val="18"/>
          <w:u w:color="353535"/>
        </w:rPr>
        <w:t>.</w:t>
      </w:r>
    </w:p>
  </w:footnote>
  <w:footnote w:id="78">
    <w:p w14:paraId="67786513" w14:textId="59E09F97" w:rsidR="00F86371" w:rsidRDefault="00F86371">
      <w:pPr>
        <w:pStyle w:val="FootnoteText"/>
      </w:pPr>
      <w:r>
        <w:rPr>
          <w:rStyle w:val="FootnoteReference"/>
        </w:rPr>
        <w:footnoteRef/>
      </w:r>
      <w:r>
        <w:t xml:space="preserve"> </w:t>
      </w:r>
      <w:r w:rsidRPr="00CF1523">
        <w:rPr>
          <w:i/>
          <w:color w:val="353535"/>
          <w:sz w:val="18"/>
          <w:szCs w:val="18"/>
          <w:u w:color="353535"/>
        </w:rPr>
        <w:t>Id</w:t>
      </w:r>
      <w:r w:rsidRPr="00CF1523">
        <w:rPr>
          <w:color w:val="353535"/>
          <w:sz w:val="18"/>
          <w:szCs w:val="18"/>
          <w:u w:color="353535"/>
        </w:rPr>
        <w:t>.</w:t>
      </w:r>
    </w:p>
  </w:footnote>
  <w:footnote w:id="79">
    <w:p w14:paraId="4DE3A5F2" w14:textId="6E95A272" w:rsidR="00F86371" w:rsidRPr="00CF1523" w:rsidRDefault="00F86371" w:rsidP="00610764">
      <w:pPr>
        <w:rPr>
          <w:sz w:val="18"/>
          <w:szCs w:val="18"/>
        </w:rPr>
      </w:pPr>
      <w:r w:rsidRPr="00CF1523">
        <w:rPr>
          <w:rStyle w:val="FootnoteReference"/>
          <w:sz w:val="18"/>
          <w:szCs w:val="18"/>
        </w:rPr>
        <w:footnoteRef/>
      </w:r>
      <w:r w:rsidRPr="00CF1523">
        <w:rPr>
          <w:sz w:val="18"/>
          <w:szCs w:val="18"/>
        </w:rPr>
        <w:t xml:space="preserve"> </w:t>
      </w:r>
      <w:r>
        <w:rPr>
          <w:i/>
          <w:color w:val="373739"/>
          <w:sz w:val="18"/>
          <w:szCs w:val="18"/>
          <w:bdr w:val="none" w:sz="0" w:space="0" w:color="auto" w:frame="1"/>
        </w:rPr>
        <w:t>Id</w:t>
      </w:r>
      <w:r w:rsidRPr="00CF1523">
        <w:rPr>
          <w:i/>
          <w:color w:val="373739"/>
          <w:sz w:val="18"/>
          <w:szCs w:val="18"/>
          <w:bdr w:val="none" w:sz="0" w:space="0" w:color="auto" w:frame="1"/>
        </w:rPr>
        <w:t xml:space="preserve">., </w:t>
      </w:r>
      <w:r w:rsidRPr="00CF1523">
        <w:rPr>
          <w:color w:val="373739"/>
          <w:sz w:val="18"/>
          <w:szCs w:val="18"/>
          <w:shd w:val="clear" w:color="auto" w:fill="FFFFFF"/>
        </w:rPr>
        <w:t>99 n.17.</w:t>
      </w:r>
    </w:p>
  </w:footnote>
  <w:footnote w:id="80">
    <w:p w14:paraId="5020C94A" w14:textId="3FE92CD7" w:rsidR="00F86371" w:rsidRPr="00EE0054" w:rsidRDefault="00F86371">
      <w:pPr>
        <w:pStyle w:val="FootnoteText"/>
        <w:rPr>
          <w:sz w:val="18"/>
          <w:szCs w:val="18"/>
        </w:rPr>
      </w:pPr>
      <w:r w:rsidRPr="00EE0054">
        <w:rPr>
          <w:rStyle w:val="FootnoteReference"/>
          <w:sz w:val="18"/>
          <w:szCs w:val="18"/>
        </w:rPr>
        <w:footnoteRef/>
      </w:r>
      <w:r w:rsidRPr="00EE0054">
        <w:rPr>
          <w:sz w:val="18"/>
          <w:szCs w:val="18"/>
        </w:rPr>
        <w:t xml:space="preserve"> </w:t>
      </w:r>
      <w:r w:rsidRPr="00EE0054">
        <w:rPr>
          <w:i/>
          <w:sz w:val="18"/>
          <w:szCs w:val="18"/>
        </w:rPr>
        <w:t xml:space="preserve">Id. </w:t>
      </w:r>
      <w:r w:rsidRPr="00EE0054">
        <w:rPr>
          <w:sz w:val="18"/>
          <w:szCs w:val="18"/>
        </w:rPr>
        <w:t>at 96.</w:t>
      </w:r>
    </w:p>
  </w:footnote>
  <w:footnote w:id="81">
    <w:p w14:paraId="45224EBD" w14:textId="2232FD90"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Deuteronomy </w:t>
      </w:r>
      <w:r w:rsidRPr="00784054">
        <w:rPr>
          <w:sz w:val="18"/>
          <w:szCs w:val="18"/>
        </w:rPr>
        <w:t>23:12-14 (King James).</w:t>
      </w:r>
    </w:p>
  </w:footnote>
  <w:footnote w:id="82">
    <w:p w14:paraId="4C9A1F05" w14:textId="357470DF"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History of Sewage Disposal, </w:t>
      </w:r>
      <w:r w:rsidRPr="00784054">
        <w:rPr>
          <w:sz w:val="18"/>
          <w:szCs w:val="18"/>
        </w:rPr>
        <w:t xml:space="preserve">Slide </w:t>
      </w:r>
      <w:r w:rsidRPr="00EE0054">
        <w:rPr>
          <w:sz w:val="18"/>
          <w:szCs w:val="18"/>
        </w:rPr>
        <w:t>3,</w:t>
      </w:r>
      <w:r w:rsidRPr="00784054">
        <w:rPr>
          <w:i/>
          <w:sz w:val="18"/>
          <w:szCs w:val="18"/>
        </w:rPr>
        <w:t xml:space="preserve"> </w:t>
      </w:r>
      <w:r w:rsidRPr="00784054">
        <w:rPr>
          <w:smallCaps/>
          <w:sz w:val="18"/>
          <w:szCs w:val="18"/>
        </w:rPr>
        <w:t>Maine Center for Disease Control and Prevention,</w:t>
      </w:r>
      <w:r w:rsidRPr="00784054">
        <w:rPr>
          <w:sz w:val="18"/>
          <w:szCs w:val="18"/>
        </w:rPr>
        <w:t xml:space="preserve"> (Winter-Spring 2013</w:t>
      </w:r>
      <w:r w:rsidRPr="00EE0054">
        <w:rPr>
          <w:sz w:val="18"/>
          <w:szCs w:val="18"/>
        </w:rPr>
        <w:t xml:space="preserve">) </w:t>
      </w:r>
      <w:r w:rsidRPr="00784054">
        <w:rPr>
          <w:sz w:val="18"/>
          <w:szCs w:val="18"/>
        </w:rPr>
        <w:t>https://www1.maine.gov/dhhs/mecdc/environmental-health/plumb/documents/training/2013/history_of_sewage_disposal.pdf</w:t>
      </w:r>
      <w:r w:rsidRPr="00EE0054">
        <w:rPr>
          <w:sz w:val="18"/>
          <w:szCs w:val="18"/>
        </w:rPr>
        <w:t>.</w:t>
      </w:r>
    </w:p>
  </w:footnote>
  <w:footnote w:id="83">
    <w:p w14:paraId="77F1B418" w14:textId="3D57FCBD" w:rsidR="00F86371" w:rsidRPr="00784054" w:rsidRDefault="00F86371" w:rsidP="00414AEC">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 xml:space="preserve">Slide </w:t>
      </w:r>
      <w:r w:rsidRPr="00EE0054">
        <w:rPr>
          <w:sz w:val="18"/>
          <w:szCs w:val="18"/>
        </w:rPr>
        <w:t>2.</w:t>
      </w:r>
    </w:p>
  </w:footnote>
  <w:footnote w:id="84">
    <w:p w14:paraId="02CB5690" w14:textId="4DA9553C"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Julie Beck, </w:t>
      </w:r>
      <w:r w:rsidRPr="00784054">
        <w:rPr>
          <w:i/>
          <w:sz w:val="18"/>
          <w:szCs w:val="18"/>
        </w:rPr>
        <w:t xml:space="preserve">Roman Plumbing: Overrated,  </w:t>
      </w:r>
      <w:r w:rsidRPr="00784054">
        <w:rPr>
          <w:smallCaps/>
          <w:sz w:val="18"/>
          <w:szCs w:val="18"/>
        </w:rPr>
        <w:t>The Atlantic</w:t>
      </w:r>
      <w:r w:rsidRPr="00EE0054">
        <w:rPr>
          <w:smallCaps/>
          <w:sz w:val="18"/>
          <w:szCs w:val="18"/>
        </w:rPr>
        <w:t xml:space="preserve"> (</w:t>
      </w:r>
      <w:r w:rsidRPr="00784054">
        <w:rPr>
          <w:sz w:val="18"/>
          <w:szCs w:val="18"/>
        </w:rPr>
        <w:t>Jan. 8, 2016</w:t>
      </w:r>
      <w:r w:rsidRPr="00EE0054">
        <w:rPr>
          <w:sz w:val="18"/>
          <w:szCs w:val="18"/>
        </w:rPr>
        <w:t>) https://www.theatlantic.com/health/archive/2016/01/ancient-roman-toilets-gross/423072/.</w:t>
      </w:r>
    </w:p>
  </w:footnote>
  <w:footnote w:id="85">
    <w:p w14:paraId="24D1BDB1" w14:textId="1D9F9916"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A Brief History of the Flush Toilet, </w:t>
      </w:r>
      <w:r w:rsidRPr="00784054">
        <w:rPr>
          <w:smallCaps/>
          <w:sz w:val="18"/>
          <w:szCs w:val="18"/>
        </w:rPr>
        <w:t>British Society of Urological Surgeons</w:t>
      </w:r>
      <w:r w:rsidRPr="00784054">
        <w:rPr>
          <w:sz w:val="18"/>
          <w:szCs w:val="18"/>
        </w:rPr>
        <w:t>,</w:t>
      </w:r>
      <w:r w:rsidRPr="00EE0054">
        <w:rPr>
          <w:sz w:val="18"/>
          <w:szCs w:val="18"/>
        </w:rPr>
        <w:t xml:space="preserve"> </w:t>
      </w:r>
      <w:r w:rsidRPr="00784054">
        <w:rPr>
          <w:sz w:val="18"/>
          <w:szCs w:val="18"/>
        </w:rPr>
        <w:t>https://www.baus.org.uk/museum/164/the_flush_toilet</w:t>
      </w:r>
      <w:r w:rsidRPr="00EE0054">
        <w:rPr>
          <w:sz w:val="18"/>
          <w:szCs w:val="18"/>
        </w:rPr>
        <w:t xml:space="preserve"> </w:t>
      </w:r>
      <w:r w:rsidRPr="00784054">
        <w:rPr>
          <w:sz w:val="18"/>
          <w:szCs w:val="18"/>
        </w:rPr>
        <w:t>(</w:t>
      </w:r>
      <w:r w:rsidRPr="00EE0054">
        <w:rPr>
          <w:sz w:val="18"/>
          <w:szCs w:val="18"/>
        </w:rPr>
        <w:t>last visited May 13</w:t>
      </w:r>
      <w:r w:rsidRPr="00784054">
        <w:rPr>
          <w:sz w:val="18"/>
          <w:szCs w:val="18"/>
        </w:rPr>
        <w:t>, 201</w:t>
      </w:r>
      <w:r w:rsidRPr="00EE0054">
        <w:rPr>
          <w:sz w:val="18"/>
          <w:szCs w:val="18"/>
        </w:rPr>
        <w:t>9</w:t>
      </w:r>
      <w:r w:rsidRPr="00784054">
        <w:rPr>
          <w:sz w:val="18"/>
          <w:szCs w:val="18"/>
        </w:rPr>
        <w:t>)</w:t>
      </w:r>
      <w:r w:rsidRPr="00EE0054">
        <w:rPr>
          <w:sz w:val="18"/>
          <w:szCs w:val="18"/>
        </w:rPr>
        <w:t>.</w:t>
      </w:r>
    </w:p>
  </w:footnote>
  <w:footnote w:id="86">
    <w:p w14:paraId="1D5DA689" w14:textId="5AB0EB2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Michael Olmert, </w:t>
      </w:r>
      <w:r w:rsidRPr="00784054">
        <w:rPr>
          <w:i/>
          <w:sz w:val="18"/>
          <w:szCs w:val="18"/>
        </w:rPr>
        <w:t xml:space="preserve">Necessary and Sufficient, </w:t>
      </w:r>
      <w:r w:rsidRPr="00784054">
        <w:rPr>
          <w:smallCaps/>
          <w:sz w:val="18"/>
          <w:szCs w:val="18"/>
        </w:rPr>
        <w:t>Colonial Williamsburg</w:t>
      </w:r>
      <w:r w:rsidRPr="00EE0054">
        <w:rPr>
          <w:smallCaps/>
          <w:sz w:val="18"/>
          <w:szCs w:val="18"/>
        </w:rPr>
        <w:t xml:space="preserve"> Journal</w:t>
      </w:r>
      <w:r w:rsidRPr="00EE0054">
        <w:rPr>
          <w:sz w:val="18"/>
          <w:szCs w:val="18"/>
        </w:rPr>
        <w:t xml:space="preserve"> (Autumn 2002), </w:t>
      </w:r>
      <w:r w:rsidRPr="00784054">
        <w:rPr>
          <w:sz w:val="18"/>
          <w:szCs w:val="18"/>
        </w:rPr>
        <w:t>http://www.history.org/foundation/journal/autumn02/necessary.cfm</w:t>
      </w:r>
      <w:r w:rsidRPr="00EE0054">
        <w:rPr>
          <w:sz w:val="18"/>
          <w:szCs w:val="18"/>
        </w:rPr>
        <w:t>.</w:t>
      </w:r>
    </w:p>
  </w:footnote>
  <w:footnote w:id="87">
    <w:p w14:paraId="112835EB" w14:textId="2F096AD9"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88">
    <w:p w14:paraId="0FAAE897" w14:textId="6BE664A4"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89">
    <w:p w14:paraId="72D647CC" w14:textId="5FEA001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A Brief History of the Flush Toilet, </w:t>
      </w:r>
      <w:r>
        <w:rPr>
          <w:sz w:val="18"/>
          <w:szCs w:val="18"/>
        </w:rPr>
        <w:t>supra note 89</w:t>
      </w:r>
      <w:r w:rsidRPr="00784054">
        <w:rPr>
          <w:i/>
          <w:sz w:val="18"/>
          <w:szCs w:val="18"/>
        </w:rPr>
        <w:t>.</w:t>
      </w:r>
    </w:p>
  </w:footnote>
  <w:footnote w:id="90">
    <w:p w14:paraId="625295B7" w14:textId="504F3686"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History of Sewage Disposal, </w:t>
      </w:r>
      <w:r>
        <w:rPr>
          <w:sz w:val="18"/>
          <w:szCs w:val="18"/>
        </w:rPr>
        <w:t xml:space="preserve">supra note 87, </w:t>
      </w:r>
      <w:r w:rsidRPr="00784054">
        <w:rPr>
          <w:sz w:val="18"/>
          <w:szCs w:val="18"/>
        </w:rPr>
        <w:t>Slide 17.</w:t>
      </w:r>
    </w:p>
  </w:footnote>
  <w:footnote w:id="91">
    <w:p w14:paraId="12C619CC" w14:textId="49402FC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Pr>
          <w:i/>
          <w:sz w:val="18"/>
          <w:szCs w:val="18"/>
        </w:rPr>
        <w:t>,</w:t>
      </w:r>
      <w:r w:rsidRPr="00784054">
        <w:rPr>
          <w:i/>
          <w:sz w:val="18"/>
          <w:szCs w:val="18"/>
        </w:rPr>
        <w:t xml:space="preserve"> </w:t>
      </w:r>
      <w:r w:rsidRPr="00784054">
        <w:rPr>
          <w:sz w:val="18"/>
          <w:szCs w:val="18"/>
        </w:rPr>
        <w:t>Slide 25.</w:t>
      </w:r>
    </w:p>
  </w:footnote>
  <w:footnote w:id="92">
    <w:p w14:paraId="27E8275C" w14:textId="4029A45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Franklin L. Kury, </w:t>
      </w:r>
      <w:r w:rsidRPr="00784054">
        <w:rPr>
          <w:i/>
          <w:sz w:val="18"/>
          <w:szCs w:val="18"/>
        </w:rPr>
        <w:t>Pennsylvania’s Environmental Rights Amendment,</w:t>
      </w:r>
      <w:r>
        <w:rPr>
          <w:sz w:val="18"/>
          <w:szCs w:val="18"/>
        </w:rPr>
        <w:t xml:space="preserve"> </w:t>
      </w:r>
      <w:r w:rsidRPr="00784054">
        <w:rPr>
          <w:smallCaps/>
          <w:sz w:val="18"/>
          <w:szCs w:val="18"/>
        </w:rPr>
        <w:t>Pennsylvania Land Trust Association</w:t>
      </w:r>
      <w:r>
        <w:rPr>
          <w:sz w:val="18"/>
          <w:szCs w:val="18"/>
        </w:rPr>
        <w:t xml:space="preserve">, </w:t>
      </w:r>
      <w:r w:rsidRPr="007475BA">
        <w:rPr>
          <w:sz w:val="18"/>
          <w:szCs w:val="18"/>
        </w:rPr>
        <w:t>https://conserveland.org/public-policy/environmental-rights-amendment/</w:t>
      </w:r>
      <w:r w:rsidRPr="00BD23E4">
        <w:rPr>
          <w:sz w:val="18"/>
          <w:szCs w:val="18"/>
        </w:rPr>
        <w:t xml:space="preserve"> </w:t>
      </w:r>
      <w:r w:rsidRPr="00784054">
        <w:rPr>
          <w:sz w:val="18"/>
          <w:szCs w:val="18"/>
        </w:rPr>
        <w:t>(</w:t>
      </w:r>
      <w:r>
        <w:rPr>
          <w:sz w:val="18"/>
          <w:szCs w:val="18"/>
        </w:rPr>
        <w:t>last visited May 11</w:t>
      </w:r>
      <w:r w:rsidRPr="00784054">
        <w:rPr>
          <w:sz w:val="18"/>
          <w:szCs w:val="18"/>
        </w:rPr>
        <w:t>, 201</w:t>
      </w:r>
      <w:r>
        <w:rPr>
          <w:sz w:val="18"/>
          <w:szCs w:val="18"/>
        </w:rPr>
        <w:t>9</w:t>
      </w:r>
      <w:r w:rsidRPr="00784054">
        <w:rPr>
          <w:sz w:val="18"/>
          <w:szCs w:val="18"/>
        </w:rPr>
        <w:t>)</w:t>
      </w:r>
      <w:r>
        <w:rPr>
          <w:sz w:val="18"/>
          <w:szCs w:val="18"/>
        </w:rPr>
        <w:t>.</w:t>
      </w:r>
    </w:p>
  </w:footnote>
  <w:footnote w:id="93">
    <w:p w14:paraId="0A84CD3C" w14:textId="18F3BB50"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94">
    <w:p w14:paraId="6FCAC911" w14:textId="77777777" w:rsidR="00F86371" w:rsidRPr="00784054" w:rsidRDefault="00F86371" w:rsidP="008F6940">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95">
    <w:p w14:paraId="640AF41D" w14:textId="67EF5D2D" w:rsidR="00F86371" w:rsidRPr="00784054" w:rsidRDefault="00F86371" w:rsidP="00CF59FD">
      <w:pPr>
        <w:shd w:val="clear" w:color="auto" w:fill="FFFFFF"/>
        <w:textAlignment w:val="baseline"/>
        <w:rPr>
          <w:color w:val="000000"/>
          <w:sz w:val="18"/>
          <w:szCs w:val="18"/>
        </w:rPr>
      </w:pPr>
      <w:r w:rsidRPr="00784054">
        <w:rPr>
          <w:rStyle w:val="FootnoteReference"/>
          <w:sz w:val="18"/>
          <w:szCs w:val="18"/>
        </w:rPr>
        <w:footnoteRef/>
      </w:r>
      <w:r w:rsidRPr="00784054">
        <w:rPr>
          <w:sz w:val="18"/>
          <w:szCs w:val="18"/>
        </w:rPr>
        <w:t xml:space="preserve"> </w:t>
      </w:r>
      <w:r w:rsidRPr="00784054">
        <w:rPr>
          <w:color w:val="000000"/>
          <w:sz w:val="18"/>
          <w:szCs w:val="18"/>
        </w:rPr>
        <w:t>35 Pa. Stat. Ann. § 750.3 (West)</w:t>
      </w:r>
      <w:r w:rsidRPr="00784054">
        <w:rPr>
          <w:sz w:val="18"/>
          <w:szCs w:val="18"/>
        </w:rPr>
        <w:t>.</w:t>
      </w:r>
    </w:p>
  </w:footnote>
  <w:footnote w:id="96">
    <w:p w14:paraId="7933116A" w14:textId="2FE90E94" w:rsidR="00F86371" w:rsidRPr="00784054" w:rsidRDefault="00F86371" w:rsidP="00862966">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Sewage Enforcement Officer Training Module</w:t>
      </w:r>
      <w:r>
        <w:rPr>
          <w:sz w:val="18"/>
          <w:szCs w:val="18"/>
        </w:rPr>
        <w:t>, S</w:t>
      </w:r>
      <w:r w:rsidRPr="00784054">
        <w:rPr>
          <w:sz w:val="18"/>
          <w:szCs w:val="18"/>
        </w:rPr>
        <w:t xml:space="preserve">lide 613-01-11, </w:t>
      </w:r>
      <w:r w:rsidRPr="00784054">
        <w:rPr>
          <w:smallCaps/>
          <w:sz w:val="18"/>
          <w:szCs w:val="18"/>
        </w:rPr>
        <w:t xml:space="preserve">Pa. Ass’n. of Twp. Supervisors </w:t>
      </w:r>
      <w:r w:rsidRPr="00784054">
        <w:rPr>
          <w:sz w:val="18"/>
          <w:szCs w:val="18"/>
        </w:rPr>
        <w:t>http://www.psats.org/ckfinder/userfiles/files/613-1ASelfStudyGuide2-1-2010.pdf (retrieved March 16, 2019).</w:t>
      </w:r>
    </w:p>
  </w:footnote>
  <w:footnote w:id="97">
    <w:p w14:paraId="37300C44" w14:textId="77777777" w:rsidR="00F86371" w:rsidRPr="00784054" w:rsidRDefault="00F86371" w:rsidP="00862966">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slides 613-01-04 through 613-10-08.</w:t>
      </w:r>
    </w:p>
  </w:footnote>
  <w:footnote w:id="98">
    <w:p w14:paraId="31EFA03A" w14:textId="5B004BAE"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Pa. Const. art I §27.</w:t>
      </w:r>
    </w:p>
  </w:footnote>
  <w:footnote w:id="99">
    <w:p w14:paraId="36270E9F" w14:textId="1283FD3C" w:rsidR="00F86371" w:rsidRPr="00784054" w:rsidRDefault="00F86371" w:rsidP="00862966">
      <w:pPr>
        <w:pStyle w:val="FootnoteText"/>
        <w:rPr>
          <w:sz w:val="18"/>
          <w:szCs w:val="18"/>
        </w:rPr>
      </w:pPr>
      <w:r w:rsidRPr="00784054">
        <w:rPr>
          <w:rStyle w:val="FootnoteReference"/>
          <w:sz w:val="18"/>
          <w:szCs w:val="18"/>
        </w:rPr>
        <w:footnoteRef/>
      </w:r>
      <w:r w:rsidRPr="00784054">
        <w:rPr>
          <w:sz w:val="18"/>
          <w:szCs w:val="18"/>
        </w:rPr>
        <w:t xml:space="preserve"> Walmer, supra note 14.</w:t>
      </w:r>
    </w:p>
  </w:footnote>
  <w:footnote w:id="100">
    <w:p w14:paraId="1368CCD2" w14:textId="4F1ADC93" w:rsidR="00F86371" w:rsidRPr="00784054" w:rsidRDefault="00F86371" w:rsidP="00862966">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See, e.g.</w:t>
      </w:r>
      <w:r>
        <w:rPr>
          <w:i/>
          <w:sz w:val="18"/>
          <w:szCs w:val="18"/>
        </w:rPr>
        <w:t>,</w:t>
      </w:r>
      <w:r w:rsidRPr="00784054">
        <w:rPr>
          <w:sz w:val="18"/>
          <w:szCs w:val="18"/>
        </w:rPr>
        <w:t xml:space="preserve"> </w:t>
      </w:r>
      <w:r w:rsidRPr="00784054">
        <w:rPr>
          <w:i/>
          <w:sz w:val="18"/>
          <w:szCs w:val="18"/>
        </w:rPr>
        <w:t xml:space="preserve">Amish farmer gets jail in outhouse dispute, </w:t>
      </w:r>
      <w:r w:rsidRPr="00784054">
        <w:rPr>
          <w:smallCaps/>
          <w:sz w:val="18"/>
          <w:szCs w:val="18"/>
        </w:rPr>
        <w:t>Associated Press</w:t>
      </w:r>
      <w:r w:rsidRPr="00784054">
        <w:rPr>
          <w:sz w:val="18"/>
          <w:szCs w:val="18"/>
        </w:rPr>
        <w:t xml:space="preserve"> (March 17, 2009 updated at 6:43 PM)</w:t>
      </w:r>
      <w:r>
        <w:rPr>
          <w:sz w:val="18"/>
          <w:szCs w:val="18"/>
        </w:rPr>
        <w:t xml:space="preserve">, </w:t>
      </w:r>
      <w:r w:rsidRPr="00784054">
        <w:rPr>
          <w:sz w:val="18"/>
          <w:szCs w:val="18"/>
        </w:rPr>
        <w:t>http://www.nbcnews.com/id/29742577/ns/us_news-crime_and_courts/t/amish-farmer-gets-jail-outhouse-dispute/#.WHZ1gVUrIps</w:t>
      </w:r>
      <w:r>
        <w:rPr>
          <w:sz w:val="18"/>
          <w:szCs w:val="18"/>
        </w:rPr>
        <w:t xml:space="preserve"> </w:t>
      </w:r>
      <w:r w:rsidRPr="00784054">
        <w:rPr>
          <w:sz w:val="18"/>
          <w:szCs w:val="18"/>
        </w:rPr>
        <w:t>(discussing case of Amish elder who was sentenced to jail for contempt over failure to bring Amish school outhouses into compliance with local waste disposal ordinances)</w:t>
      </w:r>
      <w:r>
        <w:rPr>
          <w:sz w:val="18"/>
          <w:szCs w:val="18"/>
        </w:rPr>
        <w:t>.</w:t>
      </w:r>
    </w:p>
  </w:footnote>
  <w:footnote w:id="101">
    <w:p w14:paraId="7C852BCF" w14:textId="77777777" w:rsidR="00F86371" w:rsidRPr="00784054" w:rsidRDefault="00F86371" w:rsidP="00861350">
      <w:pPr>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See, e.g., </w:t>
      </w:r>
      <w:r w:rsidRPr="00784054">
        <w:rPr>
          <w:i/>
          <w:iCs/>
          <w:color w:val="373739"/>
          <w:sz w:val="18"/>
          <w:szCs w:val="18"/>
          <w:bdr w:val="none" w:sz="0" w:space="0" w:color="auto" w:frame="1"/>
        </w:rPr>
        <w:t>Yoder v. Sugar Grove Area Sewer Auth.</w:t>
      </w:r>
      <w:r w:rsidRPr="00784054">
        <w:rPr>
          <w:color w:val="373739"/>
          <w:sz w:val="18"/>
          <w:szCs w:val="18"/>
          <w:shd w:val="clear" w:color="auto" w:fill="FFFFFF"/>
        </w:rPr>
        <w:t xml:space="preserve">, 140 A.3d 98 (Pa. Commw. Ct. 2016). </w:t>
      </w:r>
    </w:p>
  </w:footnote>
  <w:footnote w:id="102">
    <w:p w14:paraId="3A364D50" w14:textId="77777777" w:rsidR="00F86371" w:rsidRPr="00CF1523" w:rsidRDefault="00F86371" w:rsidP="00FD00B0">
      <w:pPr>
        <w:pStyle w:val="FootnoteText"/>
        <w:rPr>
          <w:sz w:val="18"/>
          <w:szCs w:val="18"/>
        </w:rPr>
      </w:pPr>
      <w:r w:rsidRPr="00CF1523">
        <w:rPr>
          <w:rStyle w:val="FootnoteReference"/>
          <w:sz w:val="18"/>
          <w:szCs w:val="18"/>
        </w:rPr>
        <w:footnoteRef/>
      </w:r>
      <w:r w:rsidRPr="00CF1523">
        <w:rPr>
          <w:sz w:val="18"/>
          <w:szCs w:val="18"/>
        </w:rPr>
        <w:t xml:space="preserve"> </w:t>
      </w:r>
      <w:r w:rsidRPr="00CF1523">
        <w:rPr>
          <w:smallCaps/>
          <w:sz w:val="18"/>
          <w:szCs w:val="18"/>
        </w:rPr>
        <w:t>U.S. Const.</w:t>
      </w:r>
      <w:r w:rsidRPr="00CF1523">
        <w:rPr>
          <w:sz w:val="18"/>
          <w:szCs w:val="18"/>
        </w:rPr>
        <w:t xml:space="preserve"> amend. I.</w:t>
      </w:r>
    </w:p>
  </w:footnote>
  <w:footnote w:id="103">
    <w:p w14:paraId="7A0EE590" w14:textId="06579B9C"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smallCaps/>
          <w:sz w:val="18"/>
          <w:szCs w:val="18"/>
        </w:rPr>
        <w:t>Pa. Const.</w:t>
      </w:r>
      <w:r w:rsidRPr="00784054">
        <w:rPr>
          <w:sz w:val="18"/>
          <w:szCs w:val="18"/>
        </w:rPr>
        <w:t xml:space="preserve"> art. I, §3.</w:t>
      </w:r>
    </w:p>
  </w:footnote>
  <w:footnote w:id="104">
    <w:p w14:paraId="40EB5AAC" w14:textId="1ACC80C3"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05">
    <w:p w14:paraId="425B85BD" w14:textId="38539B1E"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Daniel Walmer, </w:t>
      </w:r>
      <w:r w:rsidRPr="00784054">
        <w:rPr>
          <w:i/>
          <w:sz w:val="18"/>
          <w:szCs w:val="18"/>
        </w:rPr>
        <w:t xml:space="preserve">Amish use legal system rarely, </w:t>
      </w:r>
      <w:r w:rsidRPr="00784054">
        <w:rPr>
          <w:smallCaps/>
          <w:sz w:val="18"/>
          <w:szCs w:val="18"/>
        </w:rPr>
        <w:t>Lebanon Daily News</w:t>
      </w:r>
      <w:r w:rsidRPr="00784054">
        <w:rPr>
          <w:sz w:val="18"/>
          <w:szCs w:val="18"/>
        </w:rPr>
        <w:t xml:space="preserve"> (Jan. 12, 2017, last updated 2:12 PM). https://www.ldnews.com/story/news/local/2017/01/12/amish-legal-system-animals-traffic-insurance-schools/96349888/</w:t>
      </w:r>
    </w:p>
  </w:footnote>
  <w:footnote w:id="106">
    <w:p w14:paraId="4C267EEC" w14:textId="77777777"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07">
    <w:p w14:paraId="43F04F1C" w14:textId="7F68D2D9" w:rsidR="00F86371" w:rsidRPr="002B33E2" w:rsidRDefault="00F86371" w:rsidP="002B33E2">
      <w:pPr>
        <w:rPr>
          <w:sz w:val="18"/>
          <w:szCs w:val="18"/>
        </w:rPr>
      </w:pPr>
      <w:r w:rsidRPr="002B33E2">
        <w:rPr>
          <w:rStyle w:val="FootnoteReference"/>
          <w:sz w:val="18"/>
          <w:szCs w:val="18"/>
        </w:rPr>
        <w:footnoteRef/>
      </w:r>
      <w:r w:rsidRPr="002B33E2">
        <w:rPr>
          <w:sz w:val="18"/>
          <w:szCs w:val="18"/>
        </w:rPr>
        <w:t xml:space="preserve"> John A. Hostetler,</w:t>
      </w:r>
      <w:r>
        <w:rPr>
          <w:sz w:val="18"/>
          <w:szCs w:val="18"/>
        </w:rPr>
        <w:t xml:space="preserve"> </w:t>
      </w:r>
      <w:r w:rsidRPr="002B33E2">
        <w:rPr>
          <w:i/>
          <w:sz w:val="18"/>
          <w:szCs w:val="18"/>
        </w:rPr>
        <w:t>The Amish and the Law: A Religious Minority and its Legal Encounters</w:t>
      </w:r>
      <w:r w:rsidRPr="002B33E2">
        <w:rPr>
          <w:sz w:val="18"/>
          <w:szCs w:val="18"/>
        </w:rPr>
        <w:t xml:space="preserve">, 41 </w:t>
      </w:r>
      <w:r w:rsidRPr="006929C7">
        <w:rPr>
          <w:smallCaps/>
          <w:sz w:val="18"/>
          <w:szCs w:val="18"/>
        </w:rPr>
        <w:t>Wash. &amp; Lee L. Rev.</w:t>
      </w:r>
      <w:r w:rsidRPr="002B33E2">
        <w:rPr>
          <w:sz w:val="18"/>
          <w:szCs w:val="18"/>
        </w:rPr>
        <w:t xml:space="preserve"> 33</w:t>
      </w:r>
      <w:r>
        <w:rPr>
          <w:sz w:val="18"/>
          <w:szCs w:val="18"/>
        </w:rPr>
        <w:t xml:space="preserve">, 46 </w:t>
      </w:r>
      <w:r w:rsidRPr="002B33E2">
        <w:rPr>
          <w:sz w:val="18"/>
          <w:szCs w:val="18"/>
        </w:rPr>
        <w:t>(1984)</w:t>
      </w:r>
      <w:r>
        <w:rPr>
          <w:sz w:val="18"/>
          <w:szCs w:val="18"/>
        </w:rPr>
        <w:t xml:space="preserve"> (retrieved at </w:t>
      </w:r>
      <w:r w:rsidRPr="002B33E2">
        <w:rPr>
          <w:sz w:val="18"/>
          <w:szCs w:val="18"/>
        </w:rPr>
        <w:t>https://scholarlycommons.law.wlu.edu/wlulr/vol41/iss1/4</w:t>
      </w:r>
      <w:r>
        <w:rPr>
          <w:sz w:val="18"/>
          <w:szCs w:val="18"/>
        </w:rPr>
        <w:t>).</w:t>
      </w:r>
    </w:p>
  </w:footnote>
  <w:footnote w:id="108">
    <w:p w14:paraId="70EB6673" w14:textId="6CDA9067" w:rsidR="00F86371" w:rsidRPr="00784054" w:rsidRDefault="00F86371" w:rsidP="00C91BE2">
      <w:pPr>
        <w:rPr>
          <w:sz w:val="18"/>
          <w:szCs w:val="18"/>
        </w:rPr>
      </w:pPr>
      <w:r w:rsidRPr="00784054">
        <w:rPr>
          <w:rStyle w:val="FootnoteReference"/>
          <w:sz w:val="18"/>
          <w:szCs w:val="18"/>
        </w:rPr>
        <w:footnoteRef/>
      </w:r>
      <w:r w:rsidRPr="00784054">
        <w:rPr>
          <w:sz w:val="18"/>
          <w:szCs w:val="18"/>
        </w:rPr>
        <w:t xml:space="preserve"> </w:t>
      </w:r>
      <w:r w:rsidRPr="00784054">
        <w:rPr>
          <w:iCs/>
          <w:sz w:val="18"/>
          <w:szCs w:val="18"/>
        </w:rPr>
        <w:t>Wisconsin v. Yoder,</w:t>
      </w:r>
      <w:r w:rsidRPr="00784054">
        <w:rPr>
          <w:i/>
          <w:sz w:val="18"/>
          <w:szCs w:val="18"/>
        </w:rPr>
        <w:t xml:space="preserve"> </w:t>
      </w:r>
      <w:r w:rsidRPr="00784054">
        <w:rPr>
          <w:color w:val="373739"/>
          <w:sz w:val="18"/>
          <w:szCs w:val="18"/>
          <w:shd w:val="clear" w:color="auto" w:fill="FFFFFF"/>
        </w:rPr>
        <w:t>92 S. Ct. 1526 (1972).</w:t>
      </w:r>
    </w:p>
  </w:footnote>
  <w:footnote w:id="109">
    <w:p w14:paraId="7BE006B6" w14:textId="33A2CF0E"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1529-30.</w:t>
      </w:r>
    </w:p>
  </w:footnote>
  <w:footnote w:id="110">
    <w:p w14:paraId="5C6E724C" w14:textId="370628A9"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sz w:val="18"/>
          <w:szCs w:val="18"/>
          <w:lang w:val="en-GB"/>
        </w:rPr>
        <w:t xml:space="preserve">William R. MacKaye, </w:t>
      </w:r>
      <w:r w:rsidRPr="00784054">
        <w:rPr>
          <w:i/>
          <w:sz w:val="18"/>
          <w:szCs w:val="18"/>
          <w:lang w:val="en-GB"/>
        </w:rPr>
        <w:t>High Court Hears Amish School Case</w:t>
      </w:r>
      <w:r w:rsidRPr="00784054">
        <w:rPr>
          <w:sz w:val="18"/>
          <w:szCs w:val="18"/>
          <w:lang w:val="en-GB"/>
        </w:rPr>
        <w:t xml:space="preserve">, </w:t>
      </w:r>
      <w:r w:rsidRPr="00784054">
        <w:rPr>
          <w:smallCaps/>
          <w:sz w:val="18"/>
          <w:szCs w:val="18"/>
          <w:lang w:val="en-GB"/>
        </w:rPr>
        <w:t>The Washington Post</w:t>
      </w:r>
      <w:r>
        <w:rPr>
          <w:smallCaps/>
          <w:sz w:val="18"/>
          <w:szCs w:val="18"/>
          <w:lang w:val="en-GB"/>
        </w:rPr>
        <w:t xml:space="preserve"> (</w:t>
      </w:r>
      <w:r w:rsidRPr="00784054">
        <w:rPr>
          <w:sz w:val="18"/>
          <w:szCs w:val="18"/>
          <w:lang w:val="en-GB"/>
        </w:rPr>
        <w:t>December 9, 1971</w:t>
      </w:r>
      <w:r>
        <w:rPr>
          <w:sz w:val="18"/>
          <w:szCs w:val="18"/>
          <w:lang w:val="en-GB"/>
        </w:rPr>
        <w:t>) (</w:t>
      </w:r>
      <w:r w:rsidRPr="00784054">
        <w:rPr>
          <w:sz w:val="18"/>
          <w:szCs w:val="18"/>
          <w:lang w:val="en-GB"/>
        </w:rPr>
        <w:t>available at https://www.amishreligiousfreedom.com/mackaye.htm</w:t>
      </w:r>
      <w:r>
        <w:rPr>
          <w:sz w:val="18"/>
          <w:szCs w:val="18"/>
          <w:lang w:val="en-GB"/>
        </w:rPr>
        <w:t>)</w:t>
      </w:r>
      <w:r w:rsidRPr="00784054">
        <w:rPr>
          <w:sz w:val="18"/>
          <w:szCs w:val="18"/>
          <w:lang w:val="en-GB"/>
        </w:rPr>
        <w:t>.</w:t>
      </w:r>
    </w:p>
  </w:footnote>
  <w:footnote w:id="111">
    <w:p w14:paraId="1423A2F5" w14:textId="58FF7F1C"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Yoder </w:t>
      </w:r>
      <w:r w:rsidRPr="00784054">
        <w:rPr>
          <w:sz w:val="18"/>
          <w:szCs w:val="18"/>
        </w:rPr>
        <w:t>at 1530.</w:t>
      </w:r>
    </w:p>
  </w:footnote>
  <w:footnote w:id="112">
    <w:p w14:paraId="362F4036" w14:textId="77777777"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1542.</w:t>
      </w:r>
    </w:p>
  </w:footnote>
  <w:footnote w:id="113">
    <w:p w14:paraId="4DBF1BBA" w14:textId="77777777" w:rsidR="00F86371" w:rsidRPr="00784054" w:rsidRDefault="00F86371" w:rsidP="0093729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 xml:space="preserve">Id. </w:t>
      </w:r>
      <w:r w:rsidRPr="00784054">
        <w:rPr>
          <w:sz w:val="18"/>
          <w:szCs w:val="18"/>
        </w:rPr>
        <w:t>at 1543.</w:t>
      </w:r>
    </w:p>
  </w:footnote>
  <w:footnote w:id="114">
    <w:p w14:paraId="6926B20A" w14:textId="1D7A9035" w:rsidR="00F86371" w:rsidRPr="00784054" w:rsidRDefault="00F86371" w:rsidP="009A3F7D">
      <w:pPr>
        <w:pStyle w:val="NormalWeb"/>
        <w:spacing w:before="0" w:beforeAutospacing="0" w:after="0" w:afterAutospacing="0"/>
        <w:rPr>
          <w:sz w:val="18"/>
          <w:szCs w:val="18"/>
        </w:rPr>
      </w:pPr>
      <w:r w:rsidRPr="00784054">
        <w:rPr>
          <w:rStyle w:val="FootnoteReference"/>
          <w:sz w:val="18"/>
          <w:szCs w:val="18"/>
        </w:rPr>
        <w:footnoteRef/>
      </w:r>
      <w:r w:rsidRPr="00784054">
        <w:rPr>
          <w:sz w:val="18"/>
          <w:szCs w:val="18"/>
        </w:rPr>
        <w:t xml:space="preserve"> </w:t>
      </w:r>
      <w:r w:rsidRPr="00784054">
        <w:rPr>
          <w:color w:val="000000"/>
          <w:sz w:val="18"/>
          <w:szCs w:val="18"/>
        </w:rPr>
        <w:t>71 Pa. Stat. Ann. § 2401-2407 (West)</w:t>
      </w:r>
      <w:r w:rsidRPr="00784054">
        <w:rPr>
          <w:rFonts w:eastAsiaTheme="minorHAnsi"/>
          <w:color w:val="353535"/>
          <w:sz w:val="18"/>
          <w:szCs w:val="18"/>
        </w:rPr>
        <w:t>.</w:t>
      </w:r>
    </w:p>
  </w:footnote>
  <w:footnote w:id="115">
    <w:p w14:paraId="6FDDA7DA" w14:textId="2D8998DC" w:rsidR="00F86371" w:rsidRPr="00784054" w:rsidRDefault="00F86371" w:rsidP="009A3F7D">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 2.</w:t>
      </w:r>
    </w:p>
  </w:footnote>
  <w:footnote w:id="116">
    <w:p w14:paraId="48181D16" w14:textId="7FCD1FF2"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17">
    <w:p w14:paraId="377C7D63" w14:textId="4CF8E34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 5.</w:t>
      </w:r>
    </w:p>
  </w:footnote>
  <w:footnote w:id="118">
    <w:p w14:paraId="185103E5" w14:textId="264FCA8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 3.</w:t>
      </w:r>
    </w:p>
  </w:footnote>
  <w:footnote w:id="119">
    <w:p w14:paraId="289BB132" w14:textId="5105C72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Pr>
          <w:sz w:val="18"/>
          <w:szCs w:val="18"/>
        </w:rPr>
        <w:t xml:space="preserve">Brief for the </w:t>
      </w:r>
      <w:r w:rsidRPr="00784054">
        <w:rPr>
          <w:sz w:val="18"/>
          <w:szCs w:val="18"/>
        </w:rPr>
        <w:t>Appellant</w:t>
      </w:r>
      <w:r>
        <w:rPr>
          <w:sz w:val="18"/>
          <w:szCs w:val="18"/>
        </w:rPr>
        <w:t xml:space="preserve">, supra note 17, </w:t>
      </w:r>
      <w:r w:rsidRPr="00784054">
        <w:rPr>
          <w:sz w:val="18"/>
          <w:szCs w:val="18"/>
        </w:rPr>
        <w:t xml:space="preserve">at </w:t>
      </w:r>
      <w:r>
        <w:rPr>
          <w:sz w:val="18"/>
          <w:szCs w:val="18"/>
        </w:rPr>
        <w:t>12-</w:t>
      </w:r>
      <w:r w:rsidRPr="00784054">
        <w:rPr>
          <w:sz w:val="18"/>
          <w:szCs w:val="18"/>
        </w:rPr>
        <w:t>14</w:t>
      </w:r>
      <w:r>
        <w:rPr>
          <w:sz w:val="18"/>
          <w:szCs w:val="18"/>
        </w:rPr>
        <w:t>.</w:t>
      </w:r>
    </w:p>
  </w:footnote>
  <w:footnote w:id="120">
    <w:p w14:paraId="20A8FC31" w14:textId="53231B9E"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21">
    <w:p w14:paraId="400DDB9A" w14:textId="6D1F086E"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7.</w:t>
      </w:r>
    </w:p>
  </w:footnote>
  <w:footnote w:id="122">
    <w:p w14:paraId="2373B481" w14:textId="32C0436F"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0078776A" w:rsidRPr="00784054">
        <w:rPr>
          <w:iCs/>
          <w:color w:val="353535"/>
          <w:sz w:val="18"/>
          <w:szCs w:val="18"/>
          <w:u w:color="353535"/>
        </w:rPr>
        <w:t>Sugar Grove Twp. v. Byler,</w:t>
      </w:r>
      <w:r w:rsidR="0078776A" w:rsidRPr="00784054">
        <w:rPr>
          <w:color w:val="353535"/>
          <w:sz w:val="18"/>
          <w:szCs w:val="18"/>
          <w:u w:color="353535"/>
        </w:rPr>
        <w:t xml:space="preserve"> 191 A.3d 84</w:t>
      </w:r>
      <w:r w:rsidRPr="00784054">
        <w:rPr>
          <w:sz w:val="18"/>
          <w:szCs w:val="18"/>
        </w:rPr>
        <w:t xml:space="preserve"> at 96.</w:t>
      </w:r>
    </w:p>
  </w:footnote>
  <w:footnote w:id="123">
    <w:p w14:paraId="49A3E29A" w14:textId="652728FF" w:rsidR="00F86371" w:rsidRPr="00784054" w:rsidRDefault="00F86371">
      <w:pPr>
        <w:pStyle w:val="FootnoteText"/>
        <w:rPr>
          <w:i/>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24">
    <w:p w14:paraId="490C684A" w14:textId="10216DEB"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25">
    <w:p w14:paraId="0646D1DD" w14:textId="77777777" w:rsidR="00F86371" w:rsidRPr="00CF1523" w:rsidRDefault="00F86371" w:rsidP="0053777A">
      <w:pPr>
        <w:pStyle w:val="FootnoteText"/>
        <w:rPr>
          <w:sz w:val="18"/>
          <w:szCs w:val="18"/>
        </w:rPr>
      </w:pPr>
      <w:r w:rsidRPr="00CF1523">
        <w:rPr>
          <w:rStyle w:val="FootnoteReference"/>
          <w:sz w:val="18"/>
          <w:szCs w:val="18"/>
        </w:rPr>
        <w:footnoteRef/>
      </w:r>
      <w:r w:rsidRPr="00CF1523">
        <w:rPr>
          <w:sz w:val="18"/>
          <w:szCs w:val="18"/>
        </w:rPr>
        <w:t xml:space="preserve"> Warren County Civil Case Print, Sugar Grove Twp. v. Iva H. Byler et al., at 5 (Mar. 14, 2019 at 2:08 P.M.).</w:t>
      </w:r>
    </w:p>
  </w:footnote>
  <w:footnote w:id="126">
    <w:p w14:paraId="08475FE1" w14:textId="17CEA9A3" w:rsidR="00F86371" w:rsidRPr="00F86371" w:rsidRDefault="00F86371">
      <w:pPr>
        <w:pStyle w:val="FootnoteText"/>
        <w:rPr>
          <w:sz w:val="18"/>
          <w:szCs w:val="18"/>
        </w:rPr>
      </w:pPr>
      <w:r w:rsidRPr="00F86371">
        <w:rPr>
          <w:rStyle w:val="FootnoteReference"/>
          <w:sz w:val="18"/>
          <w:szCs w:val="18"/>
        </w:rPr>
        <w:footnoteRef/>
      </w:r>
      <w:r w:rsidRPr="00F86371">
        <w:rPr>
          <w:sz w:val="18"/>
          <w:szCs w:val="18"/>
        </w:rPr>
        <w:t xml:space="preserve"> </w:t>
      </w:r>
      <w:r w:rsidRPr="00F86371">
        <w:rPr>
          <w:i/>
          <w:sz w:val="18"/>
          <w:szCs w:val="18"/>
        </w:rPr>
        <w:t xml:space="preserve">Quakers in Colonial Pennsylvania, </w:t>
      </w:r>
      <w:r w:rsidRPr="00F86371">
        <w:rPr>
          <w:smallCaps/>
          <w:sz w:val="18"/>
          <w:szCs w:val="18"/>
        </w:rPr>
        <w:t xml:space="preserve">Quakers in the World, </w:t>
      </w:r>
      <w:r w:rsidRPr="00F86371">
        <w:rPr>
          <w:sz w:val="18"/>
          <w:szCs w:val="18"/>
        </w:rPr>
        <w:t>http://www.quakersintheworld.org/quakers-in-action/282/Quakers-in-colonial-Pennsylvania (last visited, May 14, 2019).</w:t>
      </w:r>
    </w:p>
  </w:footnote>
  <w:footnote w:id="127">
    <w:p w14:paraId="1AFC4161" w14:textId="77777777" w:rsidR="00C9510E" w:rsidRPr="00F86371" w:rsidRDefault="00C9510E" w:rsidP="00C9510E">
      <w:pPr>
        <w:pStyle w:val="FootnoteText"/>
        <w:rPr>
          <w:sz w:val="18"/>
          <w:szCs w:val="18"/>
        </w:rPr>
      </w:pPr>
      <w:r w:rsidRPr="00F86371">
        <w:rPr>
          <w:rStyle w:val="FootnoteReference"/>
          <w:sz w:val="18"/>
          <w:szCs w:val="18"/>
        </w:rPr>
        <w:footnoteRef/>
      </w:r>
      <w:r w:rsidRPr="00F86371">
        <w:rPr>
          <w:sz w:val="18"/>
          <w:szCs w:val="18"/>
        </w:rPr>
        <w:t xml:space="preserve"> </w:t>
      </w:r>
      <w:r w:rsidRPr="00F86371">
        <w:rPr>
          <w:smallCaps/>
          <w:sz w:val="18"/>
          <w:szCs w:val="18"/>
        </w:rPr>
        <w:t>Pa. Const.</w:t>
      </w:r>
      <w:r w:rsidRPr="00F86371">
        <w:rPr>
          <w:sz w:val="18"/>
          <w:szCs w:val="18"/>
        </w:rPr>
        <w:t xml:space="preserve"> art. I, §25 (emphasis added).</w:t>
      </w:r>
    </w:p>
  </w:footnote>
  <w:footnote w:id="128">
    <w:p w14:paraId="6BFEC098" w14:textId="05F43857"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smallCaps/>
          <w:sz w:val="18"/>
          <w:szCs w:val="18"/>
        </w:rPr>
        <w:t>Pa. Const.</w:t>
      </w:r>
      <w:r w:rsidRPr="00784054">
        <w:rPr>
          <w:sz w:val="18"/>
          <w:szCs w:val="18"/>
        </w:rPr>
        <w:t xml:space="preserve"> art. I, §27.</w:t>
      </w:r>
    </w:p>
  </w:footnote>
  <w:footnote w:id="129">
    <w:p w14:paraId="7CB62A18" w14:textId="5C3B626F"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Donna Morelli, </w:t>
      </w:r>
      <w:r w:rsidRPr="00784054">
        <w:rPr>
          <w:i/>
          <w:sz w:val="18"/>
          <w:szCs w:val="18"/>
        </w:rPr>
        <w:t xml:space="preserve">PA Environmental Rights Amendment Grows Some Teeth, </w:t>
      </w:r>
      <w:r w:rsidRPr="00784054">
        <w:rPr>
          <w:smallCaps/>
          <w:sz w:val="18"/>
          <w:szCs w:val="18"/>
        </w:rPr>
        <w:t>Bay Journal</w:t>
      </w:r>
      <w:r w:rsidRPr="00784054">
        <w:rPr>
          <w:sz w:val="18"/>
          <w:szCs w:val="18"/>
        </w:rPr>
        <w:t xml:space="preserve">, </w:t>
      </w:r>
      <w:r w:rsidRPr="00F86371">
        <w:rPr>
          <w:sz w:val="18"/>
          <w:szCs w:val="18"/>
        </w:rPr>
        <w:t>(</w:t>
      </w:r>
      <w:r w:rsidRPr="00784054">
        <w:rPr>
          <w:sz w:val="18"/>
          <w:szCs w:val="18"/>
        </w:rPr>
        <w:t>Feb. 18, 2018</w:t>
      </w:r>
      <w:r w:rsidRPr="00F86371">
        <w:rPr>
          <w:sz w:val="18"/>
          <w:szCs w:val="18"/>
        </w:rPr>
        <w:t xml:space="preserve">) </w:t>
      </w:r>
      <w:r w:rsidRPr="00784054">
        <w:rPr>
          <w:sz w:val="18"/>
          <w:szCs w:val="18"/>
        </w:rPr>
        <w:t>https://www.bayjournal.com/article/pa_activists_using_environmental_rights_amendment_with_success.</w:t>
      </w:r>
    </w:p>
  </w:footnote>
  <w:footnote w:id="130">
    <w:p w14:paraId="006F1A96" w14:textId="3B7CDCCE"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31">
    <w:p w14:paraId="7003E88E" w14:textId="5FEE889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32">
    <w:p w14:paraId="2BF6CB7F" w14:textId="26023DB5" w:rsidR="00F86371" w:rsidRPr="00EE0054" w:rsidRDefault="00F86371">
      <w:pPr>
        <w:pStyle w:val="FootnoteText"/>
        <w:rPr>
          <w:sz w:val="18"/>
          <w:szCs w:val="18"/>
        </w:rPr>
      </w:pPr>
      <w:r w:rsidRPr="00EE0054">
        <w:rPr>
          <w:rStyle w:val="FootnoteReference"/>
          <w:sz w:val="18"/>
          <w:szCs w:val="18"/>
        </w:rPr>
        <w:footnoteRef/>
      </w:r>
      <w:r w:rsidRPr="00EE0054">
        <w:rPr>
          <w:sz w:val="18"/>
          <w:szCs w:val="18"/>
        </w:rPr>
        <w:t xml:space="preserve"> Brief for the </w:t>
      </w:r>
      <w:r w:rsidRPr="00784054">
        <w:rPr>
          <w:sz w:val="18"/>
          <w:szCs w:val="18"/>
        </w:rPr>
        <w:t>Appellant</w:t>
      </w:r>
      <w:r w:rsidRPr="00EE0054">
        <w:rPr>
          <w:sz w:val="18"/>
          <w:szCs w:val="18"/>
        </w:rPr>
        <w:t>, supra note 17, at 13.</w:t>
      </w:r>
    </w:p>
  </w:footnote>
  <w:footnote w:id="133">
    <w:p w14:paraId="70BD5502" w14:textId="1BC57E0E" w:rsidR="00F86371" w:rsidRPr="00EE0054" w:rsidRDefault="00F86371">
      <w:pPr>
        <w:pStyle w:val="FootnoteText"/>
        <w:rPr>
          <w:sz w:val="18"/>
          <w:szCs w:val="18"/>
        </w:rPr>
      </w:pPr>
      <w:r w:rsidRPr="00EE0054">
        <w:rPr>
          <w:rStyle w:val="FootnoteReference"/>
          <w:sz w:val="18"/>
          <w:szCs w:val="18"/>
        </w:rPr>
        <w:footnoteRef/>
      </w:r>
      <w:r w:rsidRPr="00EE0054">
        <w:rPr>
          <w:sz w:val="18"/>
          <w:szCs w:val="18"/>
        </w:rPr>
        <w:t xml:space="preserve"> </w:t>
      </w:r>
      <w:r w:rsidRPr="00EE0054">
        <w:rPr>
          <w:i/>
          <w:sz w:val="18"/>
          <w:szCs w:val="18"/>
        </w:rPr>
        <w:t xml:space="preserve">See, e.g., Our Mission, </w:t>
      </w:r>
      <w:r w:rsidRPr="00EE0054">
        <w:rPr>
          <w:smallCaps/>
          <w:sz w:val="18"/>
          <w:szCs w:val="18"/>
        </w:rPr>
        <w:t xml:space="preserve">Pa. Landowners Ass’n., </w:t>
      </w:r>
      <w:r w:rsidRPr="00784054">
        <w:rPr>
          <w:sz w:val="18"/>
          <w:szCs w:val="18"/>
        </w:rPr>
        <w:t>http://www.palandowners.org/our-mission.html</w:t>
      </w:r>
      <w:r w:rsidRPr="00EE0054">
        <w:rPr>
          <w:sz w:val="18"/>
          <w:szCs w:val="18"/>
        </w:rPr>
        <w:t xml:space="preserve"> (last visited May 14, 2019) (stating landowner concerns regarding Pennsylvania land regulation).</w:t>
      </w:r>
    </w:p>
  </w:footnote>
  <w:footnote w:id="134">
    <w:p w14:paraId="5DC35711" w14:textId="16DA8BDC" w:rsidR="00F86371" w:rsidRPr="00EE0054" w:rsidRDefault="00F86371">
      <w:pPr>
        <w:pStyle w:val="FootnoteText"/>
        <w:rPr>
          <w:sz w:val="18"/>
          <w:szCs w:val="18"/>
        </w:rPr>
      </w:pPr>
      <w:r w:rsidRPr="00EE0054">
        <w:rPr>
          <w:rStyle w:val="FootnoteReference"/>
          <w:sz w:val="18"/>
          <w:szCs w:val="18"/>
        </w:rPr>
        <w:footnoteRef/>
      </w:r>
      <w:r w:rsidRPr="00EE0054">
        <w:rPr>
          <w:sz w:val="18"/>
          <w:szCs w:val="18"/>
        </w:rPr>
        <w:t xml:space="preserve"> Walmer, supra note 14.</w:t>
      </w:r>
    </w:p>
  </w:footnote>
  <w:footnote w:id="135">
    <w:p w14:paraId="262FC806" w14:textId="22C1DED3"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smallCaps/>
          <w:sz w:val="18"/>
          <w:szCs w:val="18"/>
        </w:rPr>
        <w:t>Theodore R. Alter, et al., Cntr. for Econ. and Community Dev., Penn St. U., Pennsylvania Agriculture: Where the Action Is!, 4</w:t>
      </w:r>
      <w:r w:rsidRPr="00EE0054">
        <w:rPr>
          <w:smallCaps/>
          <w:sz w:val="18"/>
          <w:szCs w:val="18"/>
        </w:rPr>
        <w:t xml:space="preserve"> (</w:t>
      </w:r>
      <w:r w:rsidRPr="00784054">
        <w:rPr>
          <w:sz w:val="18"/>
          <w:szCs w:val="18"/>
        </w:rPr>
        <w:t>May, 2017).</w:t>
      </w:r>
    </w:p>
  </w:footnote>
  <w:footnote w:id="136">
    <w:p w14:paraId="734CFF81" w14:textId="59709D05"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9.</w:t>
      </w:r>
    </w:p>
  </w:footnote>
  <w:footnote w:id="137">
    <w:p w14:paraId="74575AF6" w14:textId="0C723EE6"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r w:rsidRPr="00784054">
        <w:rPr>
          <w:sz w:val="18"/>
          <w:szCs w:val="18"/>
        </w:rPr>
        <w:t xml:space="preserve"> at 11 (providing statistics that 77% of small farms report income loss and that small farms’ sales average only 29% of operating expenses).</w:t>
      </w:r>
    </w:p>
  </w:footnote>
  <w:footnote w:id="138">
    <w:p w14:paraId="182D070C" w14:textId="2EED3174"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784054">
        <w:rPr>
          <w:i/>
          <w:sz w:val="18"/>
          <w:szCs w:val="18"/>
        </w:rPr>
        <w:t>Id.</w:t>
      </w:r>
    </w:p>
  </w:footnote>
  <w:footnote w:id="139">
    <w:p w14:paraId="0CBF80D7" w14:textId="7D43DF1A" w:rsidR="00F86371" w:rsidRPr="00784054" w:rsidRDefault="00F86371">
      <w:pPr>
        <w:pStyle w:val="FootnoteText"/>
        <w:rPr>
          <w:sz w:val="18"/>
          <w:szCs w:val="18"/>
        </w:rPr>
      </w:pPr>
      <w:r w:rsidRPr="00784054">
        <w:rPr>
          <w:rStyle w:val="FootnoteReference"/>
          <w:sz w:val="18"/>
          <w:szCs w:val="18"/>
        </w:rPr>
        <w:footnoteRef/>
      </w:r>
      <w:r w:rsidRPr="00784054">
        <w:rPr>
          <w:sz w:val="18"/>
          <w:szCs w:val="18"/>
        </w:rPr>
        <w:t xml:space="preserve"> </w:t>
      </w:r>
      <w:r w:rsidRPr="00F86371">
        <w:rPr>
          <w:sz w:val="18"/>
          <w:szCs w:val="18"/>
        </w:rPr>
        <w:t xml:space="preserve">Brief for the </w:t>
      </w:r>
      <w:r w:rsidRPr="00784054">
        <w:rPr>
          <w:sz w:val="18"/>
          <w:szCs w:val="18"/>
        </w:rPr>
        <w:t>Appellant</w:t>
      </w:r>
      <w:r w:rsidRPr="00F86371">
        <w:rPr>
          <w:sz w:val="18"/>
          <w:szCs w:val="18"/>
        </w:rPr>
        <w:t xml:space="preserve">, supra note 17, at </w:t>
      </w:r>
      <w:r w:rsidRPr="00784054">
        <w:rPr>
          <w:sz w:val="18"/>
          <w:szCs w:val="18"/>
        </w:rPr>
        <w:t>22.</w:t>
      </w:r>
    </w:p>
  </w:footnote>
  <w:footnote w:id="140">
    <w:p w14:paraId="3B6BE8DD" w14:textId="012D8B63" w:rsidR="0006320F" w:rsidRDefault="0006320F">
      <w:pPr>
        <w:pStyle w:val="FootnoteText"/>
      </w:pPr>
      <w:r>
        <w:rPr>
          <w:rStyle w:val="FootnoteReference"/>
        </w:rPr>
        <w:footnoteRef/>
      </w:r>
      <w:r>
        <w:t xml:space="preserve"> </w:t>
      </w:r>
      <w:r w:rsidR="0078776A" w:rsidRPr="00784054">
        <w:rPr>
          <w:iCs/>
          <w:color w:val="353535"/>
          <w:sz w:val="18"/>
          <w:szCs w:val="18"/>
          <w:u w:color="353535"/>
        </w:rPr>
        <w:t>Sugar Grove Twp. v. Byler,</w:t>
      </w:r>
      <w:r w:rsidR="0078776A" w:rsidRPr="00784054">
        <w:rPr>
          <w:color w:val="353535"/>
          <w:sz w:val="18"/>
          <w:szCs w:val="18"/>
          <w:u w:color="353535"/>
        </w:rPr>
        <w:t xml:space="preserve"> 191 A.3d 84</w:t>
      </w:r>
      <w:r w:rsidR="0078776A">
        <w:rPr>
          <w:color w:val="353535"/>
          <w:sz w:val="18"/>
          <w:szCs w:val="18"/>
          <w:u w:color="353535"/>
        </w:rPr>
        <w:t xml:space="preserve">, </w:t>
      </w:r>
      <w:r w:rsidRPr="00CF1523">
        <w:rPr>
          <w:color w:val="373739"/>
          <w:sz w:val="18"/>
          <w:szCs w:val="18"/>
          <w:shd w:val="clear" w:color="auto" w:fill="FFFFFF"/>
        </w:rPr>
        <w:t>9</w:t>
      </w:r>
      <w:r w:rsidR="0078776A">
        <w:rPr>
          <w:color w:val="373739"/>
          <w:sz w:val="18"/>
          <w:szCs w:val="18"/>
          <w:shd w:val="clear" w:color="auto" w:fill="FFFFFF"/>
        </w:rPr>
        <w:t>6</w:t>
      </w:r>
      <w:r w:rsidRPr="00CF1523">
        <w:rPr>
          <w:color w:val="373739"/>
          <w:sz w:val="18"/>
          <w:szCs w:val="18"/>
          <w:shd w:val="clear" w:color="auto" w:fill="FFFFFF"/>
        </w:rPr>
        <w:t xml:space="preserve"> n.1</w:t>
      </w:r>
      <w:r w:rsidR="0078776A">
        <w:rPr>
          <w:color w:val="373739"/>
          <w:sz w:val="18"/>
          <w:szCs w:val="18"/>
          <w:shd w:val="clear" w:color="auto" w:fill="FFFFFF"/>
        </w:rPr>
        <w:t>0</w:t>
      </w:r>
      <w:r w:rsidRPr="00CF1523">
        <w:rPr>
          <w:color w:val="373739"/>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5600470"/>
      <w:docPartObj>
        <w:docPartGallery w:val="Page Numbers (Top of Page)"/>
        <w:docPartUnique/>
      </w:docPartObj>
    </w:sdtPr>
    <w:sdtEndPr>
      <w:rPr>
        <w:rStyle w:val="PageNumber"/>
      </w:rPr>
    </w:sdtEndPr>
    <w:sdtContent>
      <w:p w14:paraId="4176B937" w14:textId="26904B86" w:rsidR="00F86371" w:rsidRDefault="00F86371" w:rsidP="008629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D665E" w14:textId="77777777" w:rsidR="00F86371" w:rsidRDefault="00F86371" w:rsidP="000841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0312818"/>
      <w:docPartObj>
        <w:docPartGallery w:val="Page Numbers (Top of Page)"/>
        <w:docPartUnique/>
      </w:docPartObj>
    </w:sdtPr>
    <w:sdtEndPr>
      <w:rPr>
        <w:rStyle w:val="PageNumber"/>
        <w:sz w:val="20"/>
        <w:szCs w:val="20"/>
      </w:rPr>
    </w:sdtEndPr>
    <w:sdtContent>
      <w:p w14:paraId="5AB69703" w14:textId="7BD6AD7A" w:rsidR="00F86371" w:rsidRPr="0008415E" w:rsidRDefault="00F86371" w:rsidP="00862966">
        <w:pPr>
          <w:pStyle w:val="Header"/>
          <w:framePr w:wrap="none" w:vAnchor="text" w:hAnchor="margin" w:xAlign="right" w:y="1"/>
          <w:rPr>
            <w:rStyle w:val="PageNumber"/>
            <w:sz w:val="20"/>
            <w:szCs w:val="20"/>
          </w:rPr>
        </w:pPr>
        <w:r w:rsidRPr="0008415E">
          <w:rPr>
            <w:rStyle w:val="PageNumber"/>
            <w:sz w:val="20"/>
            <w:szCs w:val="20"/>
          </w:rPr>
          <w:fldChar w:fldCharType="begin"/>
        </w:r>
        <w:r w:rsidRPr="0008415E">
          <w:rPr>
            <w:rStyle w:val="PageNumber"/>
            <w:sz w:val="20"/>
            <w:szCs w:val="20"/>
          </w:rPr>
          <w:instrText xml:space="preserve"> PAGE </w:instrText>
        </w:r>
        <w:r w:rsidRPr="0008415E">
          <w:rPr>
            <w:rStyle w:val="PageNumber"/>
            <w:sz w:val="20"/>
            <w:szCs w:val="20"/>
          </w:rPr>
          <w:fldChar w:fldCharType="separate"/>
        </w:r>
        <w:r>
          <w:rPr>
            <w:rStyle w:val="PageNumber"/>
            <w:noProof/>
            <w:sz w:val="20"/>
            <w:szCs w:val="20"/>
          </w:rPr>
          <w:t>20</w:t>
        </w:r>
        <w:r w:rsidRPr="0008415E">
          <w:rPr>
            <w:rStyle w:val="PageNumber"/>
            <w:sz w:val="20"/>
            <w:szCs w:val="20"/>
          </w:rPr>
          <w:fldChar w:fldCharType="end"/>
        </w:r>
      </w:p>
    </w:sdtContent>
  </w:sdt>
  <w:p w14:paraId="010AD66B" w14:textId="77777777" w:rsidR="00F86371" w:rsidRPr="0008415E" w:rsidRDefault="00F86371" w:rsidP="0008415E">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180"/>
    <w:multiLevelType w:val="hybridMultilevel"/>
    <w:tmpl w:val="D97E2FEC"/>
    <w:lvl w:ilvl="0" w:tplc="771249A6">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35D6A21"/>
    <w:multiLevelType w:val="hybridMultilevel"/>
    <w:tmpl w:val="0E041904"/>
    <w:lvl w:ilvl="0" w:tplc="33A83A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235552"/>
    <w:multiLevelType w:val="hybridMultilevel"/>
    <w:tmpl w:val="0E22B1B2"/>
    <w:lvl w:ilvl="0" w:tplc="30300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86075"/>
    <w:multiLevelType w:val="hybridMultilevel"/>
    <w:tmpl w:val="3B9E7DCA"/>
    <w:lvl w:ilvl="0" w:tplc="6778E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642DF"/>
    <w:multiLevelType w:val="hybridMultilevel"/>
    <w:tmpl w:val="45C03CBA"/>
    <w:lvl w:ilvl="0" w:tplc="149049C4">
      <w:start w:val="1"/>
      <w:numFmt w:val="upp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CC"/>
    <w:rsid w:val="00000ED7"/>
    <w:rsid w:val="0001082E"/>
    <w:rsid w:val="00012358"/>
    <w:rsid w:val="00025CE5"/>
    <w:rsid w:val="000313ED"/>
    <w:rsid w:val="00034047"/>
    <w:rsid w:val="00035379"/>
    <w:rsid w:val="00063190"/>
    <w:rsid w:val="0006320F"/>
    <w:rsid w:val="000632C5"/>
    <w:rsid w:val="00075E1A"/>
    <w:rsid w:val="00077280"/>
    <w:rsid w:val="00077E36"/>
    <w:rsid w:val="00082AED"/>
    <w:rsid w:val="00083A40"/>
    <w:rsid w:val="0008415E"/>
    <w:rsid w:val="00087783"/>
    <w:rsid w:val="000922EE"/>
    <w:rsid w:val="00092FF7"/>
    <w:rsid w:val="00097B38"/>
    <w:rsid w:val="000A050E"/>
    <w:rsid w:val="000A3081"/>
    <w:rsid w:val="000A6AE1"/>
    <w:rsid w:val="000B2069"/>
    <w:rsid w:val="000B3DDE"/>
    <w:rsid w:val="000B58B4"/>
    <w:rsid w:val="000C03B8"/>
    <w:rsid w:val="000C1D84"/>
    <w:rsid w:val="000C6AF2"/>
    <w:rsid w:val="000D603D"/>
    <w:rsid w:val="000E5C77"/>
    <w:rsid w:val="000E667E"/>
    <w:rsid w:val="000E70DE"/>
    <w:rsid w:val="000F1FEB"/>
    <w:rsid w:val="000F381E"/>
    <w:rsid w:val="0010277E"/>
    <w:rsid w:val="00102A50"/>
    <w:rsid w:val="00102C18"/>
    <w:rsid w:val="00104688"/>
    <w:rsid w:val="0011149F"/>
    <w:rsid w:val="00121B23"/>
    <w:rsid w:val="00121F17"/>
    <w:rsid w:val="00123EBA"/>
    <w:rsid w:val="00124E47"/>
    <w:rsid w:val="00136DB6"/>
    <w:rsid w:val="00150C8D"/>
    <w:rsid w:val="001550E1"/>
    <w:rsid w:val="00161D54"/>
    <w:rsid w:val="00166D20"/>
    <w:rsid w:val="001737C1"/>
    <w:rsid w:val="00180840"/>
    <w:rsid w:val="0018206D"/>
    <w:rsid w:val="0018238B"/>
    <w:rsid w:val="00184D79"/>
    <w:rsid w:val="00187F16"/>
    <w:rsid w:val="0019251F"/>
    <w:rsid w:val="00196F9F"/>
    <w:rsid w:val="001A3B88"/>
    <w:rsid w:val="001B1707"/>
    <w:rsid w:val="001C5A6A"/>
    <w:rsid w:val="001C6583"/>
    <w:rsid w:val="001D05D4"/>
    <w:rsid w:val="001D18E2"/>
    <w:rsid w:val="001D1934"/>
    <w:rsid w:val="001E7B66"/>
    <w:rsid w:val="00210CA2"/>
    <w:rsid w:val="002110C7"/>
    <w:rsid w:val="00215C49"/>
    <w:rsid w:val="00220EEA"/>
    <w:rsid w:val="00221891"/>
    <w:rsid w:val="00226B0A"/>
    <w:rsid w:val="00234869"/>
    <w:rsid w:val="00236265"/>
    <w:rsid w:val="002431CB"/>
    <w:rsid w:val="00254C04"/>
    <w:rsid w:val="00255E0D"/>
    <w:rsid w:val="00257076"/>
    <w:rsid w:val="00263B5A"/>
    <w:rsid w:val="00277C2E"/>
    <w:rsid w:val="002902BB"/>
    <w:rsid w:val="00296181"/>
    <w:rsid w:val="002A61CA"/>
    <w:rsid w:val="002B0759"/>
    <w:rsid w:val="002B33E2"/>
    <w:rsid w:val="002C6675"/>
    <w:rsid w:val="002D11F9"/>
    <w:rsid w:val="002D3E57"/>
    <w:rsid w:val="002D5576"/>
    <w:rsid w:val="002D7462"/>
    <w:rsid w:val="002E4DBD"/>
    <w:rsid w:val="002E677B"/>
    <w:rsid w:val="002F1FE9"/>
    <w:rsid w:val="002F79A9"/>
    <w:rsid w:val="003008F0"/>
    <w:rsid w:val="00301E6A"/>
    <w:rsid w:val="00303B7B"/>
    <w:rsid w:val="00315061"/>
    <w:rsid w:val="00316AE0"/>
    <w:rsid w:val="00317827"/>
    <w:rsid w:val="00322CE8"/>
    <w:rsid w:val="00324C0B"/>
    <w:rsid w:val="00325106"/>
    <w:rsid w:val="00332681"/>
    <w:rsid w:val="003342A8"/>
    <w:rsid w:val="00335DF0"/>
    <w:rsid w:val="00342EA7"/>
    <w:rsid w:val="00343452"/>
    <w:rsid w:val="00350F63"/>
    <w:rsid w:val="00352A2E"/>
    <w:rsid w:val="003532BE"/>
    <w:rsid w:val="0035338E"/>
    <w:rsid w:val="00363F4B"/>
    <w:rsid w:val="0036587F"/>
    <w:rsid w:val="0036672B"/>
    <w:rsid w:val="00367610"/>
    <w:rsid w:val="00390182"/>
    <w:rsid w:val="00393F47"/>
    <w:rsid w:val="003949B5"/>
    <w:rsid w:val="00397ADF"/>
    <w:rsid w:val="003A0902"/>
    <w:rsid w:val="003A4270"/>
    <w:rsid w:val="003A4CCD"/>
    <w:rsid w:val="003A7449"/>
    <w:rsid w:val="003C6345"/>
    <w:rsid w:val="003D1743"/>
    <w:rsid w:val="003E64F8"/>
    <w:rsid w:val="003F0AF2"/>
    <w:rsid w:val="003F7602"/>
    <w:rsid w:val="0040558E"/>
    <w:rsid w:val="0040565C"/>
    <w:rsid w:val="00406CA2"/>
    <w:rsid w:val="004074BB"/>
    <w:rsid w:val="00407C8F"/>
    <w:rsid w:val="00410B67"/>
    <w:rsid w:val="00410D64"/>
    <w:rsid w:val="00411F35"/>
    <w:rsid w:val="00414AEC"/>
    <w:rsid w:val="00416D83"/>
    <w:rsid w:val="00417A15"/>
    <w:rsid w:val="0042254E"/>
    <w:rsid w:val="0042577D"/>
    <w:rsid w:val="004311C9"/>
    <w:rsid w:val="00431CF7"/>
    <w:rsid w:val="00432463"/>
    <w:rsid w:val="00432CA8"/>
    <w:rsid w:val="00443CAF"/>
    <w:rsid w:val="00455988"/>
    <w:rsid w:val="00462FF3"/>
    <w:rsid w:val="00467756"/>
    <w:rsid w:val="00471482"/>
    <w:rsid w:val="00476E5B"/>
    <w:rsid w:val="00477B9D"/>
    <w:rsid w:val="0048029A"/>
    <w:rsid w:val="00481EA9"/>
    <w:rsid w:val="0049490A"/>
    <w:rsid w:val="004951EE"/>
    <w:rsid w:val="00496698"/>
    <w:rsid w:val="004A205C"/>
    <w:rsid w:val="004A4A2B"/>
    <w:rsid w:val="004B0AE8"/>
    <w:rsid w:val="004B6488"/>
    <w:rsid w:val="004C6B8C"/>
    <w:rsid w:val="004C74E6"/>
    <w:rsid w:val="004D06FE"/>
    <w:rsid w:val="004E2FD2"/>
    <w:rsid w:val="004E6D3C"/>
    <w:rsid w:val="004E702D"/>
    <w:rsid w:val="004E761F"/>
    <w:rsid w:val="005051FE"/>
    <w:rsid w:val="00511824"/>
    <w:rsid w:val="00520A7B"/>
    <w:rsid w:val="00525E57"/>
    <w:rsid w:val="005300EF"/>
    <w:rsid w:val="0053777A"/>
    <w:rsid w:val="00540A79"/>
    <w:rsid w:val="00541B1E"/>
    <w:rsid w:val="005432C3"/>
    <w:rsid w:val="005432EC"/>
    <w:rsid w:val="00545238"/>
    <w:rsid w:val="005463DB"/>
    <w:rsid w:val="00550FBF"/>
    <w:rsid w:val="005610CB"/>
    <w:rsid w:val="00562EBA"/>
    <w:rsid w:val="00564538"/>
    <w:rsid w:val="005654E3"/>
    <w:rsid w:val="00566F63"/>
    <w:rsid w:val="0057032E"/>
    <w:rsid w:val="0058212F"/>
    <w:rsid w:val="00586C72"/>
    <w:rsid w:val="005907C0"/>
    <w:rsid w:val="005925E5"/>
    <w:rsid w:val="005A63E9"/>
    <w:rsid w:val="005A66B9"/>
    <w:rsid w:val="005B4632"/>
    <w:rsid w:val="005B6B84"/>
    <w:rsid w:val="005C6728"/>
    <w:rsid w:val="005C72EE"/>
    <w:rsid w:val="005C7708"/>
    <w:rsid w:val="005D71B3"/>
    <w:rsid w:val="005E285F"/>
    <w:rsid w:val="005E29B2"/>
    <w:rsid w:val="005E3400"/>
    <w:rsid w:val="005E7875"/>
    <w:rsid w:val="005E7A19"/>
    <w:rsid w:val="005F1EEB"/>
    <w:rsid w:val="00604B73"/>
    <w:rsid w:val="00605351"/>
    <w:rsid w:val="0060546E"/>
    <w:rsid w:val="00605B45"/>
    <w:rsid w:val="00610764"/>
    <w:rsid w:val="00615E01"/>
    <w:rsid w:val="00622989"/>
    <w:rsid w:val="0063541D"/>
    <w:rsid w:val="00655F19"/>
    <w:rsid w:val="00661C47"/>
    <w:rsid w:val="00671E1B"/>
    <w:rsid w:val="00683ED3"/>
    <w:rsid w:val="006929C7"/>
    <w:rsid w:val="00694982"/>
    <w:rsid w:val="006962FF"/>
    <w:rsid w:val="006A5C0A"/>
    <w:rsid w:val="006B24BE"/>
    <w:rsid w:val="006B5719"/>
    <w:rsid w:val="006B7545"/>
    <w:rsid w:val="006C4277"/>
    <w:rsid w:val="006E2E89"/>
    <w:rsid w:val="006F1802"/>
    <w:rsid w:val="006F53DA"/>
    <w:rsid w:val="006F7AFA"/>
    <w:rsid w:val="006F7F58"/>
    <w:rsid w:val="00711EFE"/>
    <w:rsid w:val="0071722E"/>
    <w:rsid w:val="00717BA7"/>
    <w:rsid w:val="007227B8"/>
    <w:rsid w:val="00722C91"/>
    <w:rsid w:val="00723757"/>
    <w:rsid w:val="00726E9E"/>
    <w:rsid w:val="00727A60"/>
    <w:rsid w:val="00731D62"/>
    <w:rsid w:val="00745BC3"/>
    <w:rsid w:val="0074693A"/>
    <w:rsid w:val="00746943"/>
    <w:rsid w:val="007471FB"/>
    <w:rsid w:val="007475BA"/>
    <w:rsid w:val="0075543F"/>
    <w:rsid w:val="007577B1"/>
    <w:rsid w:val="00757A6F"/>
    <w:rsid w:val="00770951"/>
    <w:rsid w:val="00773404"/>
    <w:rsid w:val="007813D8"/>
    <w:rsid w:val="0078377F"/>
    <w:rsid w:val="00784054"/>
    <w:rsid w:val="007840E7"/>
    <w:rsid w:val="0078776A"/>
    <w:rsid w:val="007952B0"/>
    <w:rsid w:val="007954DF"/>
    <w:rsid w:val="00797522"/>
    <w:rsid w:val="007A3912"/>
    <w:rsid w:val="007A405F"/>
    <w:rsid w:val="007B1EE0"/>
    <w:rsid w:val="007C15E9"/>
    <w:rsid w:val="007D132F"/>
    <w:rsid w:val="007E1AFB"/>
    <w:rsid w:val="007E2B76"/>
    <w:rsid w:val="007E62E7"/>
    <w:rsid w:val="007E7BF5"/>
    <w:rsid w:val="007F0DB6"/>
    <w:rsid w:val="007F10DB"/>
    <w:rsid w:val="00802434"/>
    <w:rsid w:val="008121F9"/>
    <w:rsid w:val="00816992"/>
    <w:rsid w:val="0082411F"/>
    <w:rsid w:val="008309C1"/>
    <w:rsid w:val="00831970"/>
    <w:rsid w:val="008354C3"/>
    <w:rsid w:val="0083712E"/>
    <w:rsid w:val="00840C8C"/>
    <w:rsid w:val="008420D3"/>
    <w:rsid w:val="0084643F"/>
    <w:rsid w:val="00846C41"/>
    <w:rsid w:val="008511C7"/>
    <w:rsid w:val="008604AC"/>
    <w:rsid w:val="00861350"/>
    <w:rsid w:val="00862966"/>
    <w:rsid w:val="00870352"/>
    <w:rsid w:val="00895BB3"/>
    <w:rsid w:val="00897D49"/>
    <w:rsid w:val="008A1A91"/>
    <w:rsid w:val="008A4E52"/>
    <w:rsid w:val="008A7431"/>
    <w:rsid w:val="008A761B"/>
    <w:rsid w:val="008B1777"/>
    <w:rsid w:val="008B35BC"/>
    <w:rsid w:val="008C230A"/>
    <w:rsid w:val="008C28C2"/>
    <w:rsid w:val="008C2BAE"/>
    <w:rsid w:val="008C402A"/>
    <w:rsid w:val="008C6F2B"/>
    <w:rsid w:val="008D350C"/>
    <w:rsid w:val="008D3F7B"/>
    <w:rsid w:val="008F1B88"/>
    <w:rsid w:val="008F6940"/>
    <w:rsid w:val="008F7813"/>
    <w:rsid w:val="00907EF9"/>
    <w:rsid w:val="0091688D"/>
    <w:rsid w:val="00930B2B"/>
    <w:rsid w:val="00932FB4"/>
    <w:rsid w:val="0093551F"/>
    <w:rsid w:val="00936AA6"/>
    <w:rsid w:val="0093729D"/>
    <w:rsid w:val="00951CF6"/>
    <w:rsid w:val="00953259"/>
    <w:rsid w:val="00957F4E"/>
    <w:rsid w:val="00960964"/>
    <w:rsid w:val="00963D3B"/>
    <w:rsid w:val="00980532"/>
    <w:rsid w:val="009813EE"/>
    <w:rsid w:val="0098339D"/>
    <w:rsid w:val="00985EE2"/>
    <w:rsid w:val="00992293"/>
    <w:rsid w:val="009A3F7D"/>
    <w:rsid w:val="009B5851"/>
    <w:rsid w:val="009C3F06"/>
    <w:rsid w:val="009C78BB"/>
    <w:rsid w:val="009C7C61"/>
    <w:rsid w:val="009E0A89"/>
    <w:rsid w:val="009E3975"/>
    <w:rsid w:val="009E4FFF"/>
    <w:rsid w:val="009E53B0"/>
    <w:rsid w:val="009F22DB"/>
    <w:rsid w:val="009F6F36"/>
    <w:rsid w:val="00A0118D"/>
    <w:rsid w:val="00A03D92"/>
    <w:rsid w:val="00A045CA"/>
    <w:rsid w:val="00A10FA8"/>
    <w:rsid w:val="00A12DB0"/>
    <w:rsid w:val="00A16065"/>
    <w:rsid w:val="00A40226"/>
    <w:rsid w:val="00A45980"/>
    <w:rsid w:val="00A55BC4"/>
    <w:rsid w:val="00A56859"/>
    <w:rsid w:val="00A61BF1"/>
    <w:rsid w:val="00A75D17"/>
    <w:rsid w:val="00A80352"/>
    <w:rsid w:val="00A90EDB"/>
    <w:rsid w:val="00A9131F"/>
    <w:rsid w:val="00A95BE7"/>
    <w:rsid w:val="00AA2F26"/>
    <w:rsid w:val="00AA3FBE"/>
    <w:rsid w:val="00AA6202"/>
    <w:rsid w:val="00AB1CB6"/>
    <w:rsid w:val="00AB4390"/>
    <w:rsid w:val="00AB598A"/>
    <w:rsid w:val="00AC4137"/>
    <w:rsid w:val="00AC7242"/>
    <w:rsid w:val="00AC7ACD"/>
    <w:rsid w:val="00AC7CFD"/>
    <w:rsid w:val="00AD1245"/>
    <w:rsid w:val="00AD157A"/>
    <w:rsid w:val="00AD67C8"/>
    <w:rsid w:val="00AE39E0"/>
    <w:rsid w:val="00AE3DC1"/>
    <w:rsid w:val="00AE5D89"/>
    <w:rsid w:val="00AF0748"/>
    <w:rsid w:val="00AF4D69"/>
    <w:rsid w:val="00B04B40"/>
    <w:rsid w:val="00B06DB7"/>
    <w:rsid w:val="00B114AB"/>
    <w:rsid w:val="00B14EC3"/>
    <w:rsid w:val="00B17875"/>
    <w:rsid w:val="00B322A9"/>
    <w:rsid w:val="00B34C65"/>
    <w:rsid w:val="00B37127"/>
    <w:rsid w:val="00B4460F"/>
    <w:rsid w:val="00B447A9"/>
    <w:rsid w:val="00B451ED"/>
    <w:rsid w:val="00B451F5"/>
    <w:rsid w:val="00B54513"/>
    <w:rsid w:val="00B61964"/>
    <w:rsid w:val="00B61CFB"/>
    <w:rsid w:val="00B6463F"/>
    <w:rsid w:val="00B7083B"/>
    <w:rsid w:val="00B72D5C"/>
    <w:rsid w:val="00B73FB8"/>
    <w:rsid w:val="00B76527"/>
    <w:rsid w:val="00B7799B"/>
    <w:rsid w:val="00B86CD9"/>
    <w:rsid w:val="00B943AE"/>
    <w:rsid w:val="00BA2F6E"/>
    <w:rsid w:val="00BB2DCE"/>
    <w:rsid w:val="00BB6218"/>
    <w:rsid w:val="00BB6EA4"/>
    <w:rsid w:val="00BB74BF"/>
    <w:rsid w:val="00BC3473"/>
    <w:rsid w:val="00BC62AC"/>
    <w:rsid w:val="00BC7451"/>
    <w:rsid w:val="00BD23E4"/>
    <w:rsid w:val="00BD2A67"/>
    <w:rsid w:val="00BD42CF"/>
    <w:rsid w:val="00BE5593"/>
    <w:rsid w:val="00BF41BC"/>
    <w:rsid w:val="00BF58B7"/>
    <w:rsid w:val="00C00CC6"/>
    <w:rsid w:val="00C034B5"/>
    <w:rsid w:val="00C242D0"/>
    <w:rsid w:val="00C24498"/>
    <w:rsid w:val="00C32931"/>
    <w:rsid w:val="00C3796A"/>
    <w:rsid w:val="00C47AE5"/>
    <w:rsid w:val="00C51278"/>
    <w:rsid w:val="00C51BC0"/>
    <w:rsid w:val="00C52B17"/>
    <w:rsid w:val="00C5316B"/>
    <w:rsid w:val="00C537F3"/>
    <w:rsid w:val="00C638CC"/>
    <w:rsid w:val="00C63B8F"/>
    <w:rsid w:val="00C6591A"/>
    <w:rsid w:val="00C65BA0"/>
    <w:rsid w:val="00C65C62"/>
    <w:rsid w:val="00C71E52"/>
    <w:rsid w:val="00C76E44"/>
    <w:rsid w:val="00C91BE2"/>
    <w:rsid w:val="00C9510E"/>
    <w:rsid w:val="00C96F6F"/>
    <w:rsid w:val="00CA105E"/>
    <w:rsid w:val="00CC03A2"/>
    <w:rsid w:val="00CC4A04"/>
    <w:rsid w:val="00CD3631"/>
    <w:rsid w:val="00CD7296"/>
    <w:rsid w:val="00CF2C19"/>
    <w:rsid w:val="00CF59FD"/>
    <w:rsid w:val="00D0644D"/>
    <w:rsid w:val="00D10270"/>
    <w:rsid w:val="00D10EB1"/>
    <w:rsid w:val="00D113A1"/>
    <w:rsid w:val="00D268D9"/>
    <w:rsid w:val="00D450B0"/>
    <w:rsid w:val="00D478B4"/>
    <w:rsid w:val="00D55436"/>
    <w:rsid w:val="00D5563B"/>
    <w:rsid w:val="00D625F0"/>
    <w:rsid w:val="00D66AEF"/>
    <w:rsid w:val="00D71B65"/>
    <w:rsid w:val="00D87770"/>
    <w:rsid w:val="00D905FB"/>
    <w:rsid w:val="00D95862"/>
    <w:rsid w:val="00DA145B"/>
    <w:rsid w:val="00DA202F"/>
    <w:rsid w:val="00DA2CBF"/>
    <w:rsid w:val="00DA470C"/>
    <w:rsid w:val="00DB5D23"/>
    <w:rsid w:val="00DB7D80"/>
    <w:rsid w:val="00DC4B0D"/>
    <w:rsid w:val="00DC4DD5"/>
    <w:rsid w:val="00DD0601"/>
    <w:rsid w:val="00DD3E8D"/>
    <w:rsid w:val="00DD4114"/>
    <w:rsid w:val="00DD450D"/>
    <w:rsid w:val="00DE1803"/>
    <w:rsid w:val="00DE6188"/>
    <w:rsid w:val="00DF448A"/>
    <w:rsid w:val="00E0578F"/>
    <w:rsid w:val="00E07729"/>
    <w:rsid w:val="00E07826"/>
    <w:rsid w:val="00E13BE2"/>
    <w:rsid w:val="00E144B0"/>
    <w:rsid w:val="00E20AD6"/>
    <w:rsid w:val="00E211BA"/>
    <w:rsid w:val="00E302A7"/>
    <w:rsid w:val="00E324EE"/>
    <w:rsid w:val="00E343F6"/>
    <w:rsid w:val="00E346F8"/>
    <w:rsid w:val="00E448D0"/>
    <w:rsid w:val="00E505ED"/>
    <w:rsid w:val="00E5272E"/>
    <w:rsid w:val="00E55BA7"/>
    <w:rsid w:val="00E60515"/>
    <w:rsid w:val="00E72F42"/>
    <w:rsid w:val="00E750FE"/>
    <w:rsid w:val="00E75A29"/>
    <w:rsid w:val="00EA193F"/>
    <w:rsid w:val="00EA33F7"/>
    <w:rsid w:val="00EA36A3"/>
    <w:rsid w:val="00EA72FB"/>
    <w:rsid w:val="00EA7569"/>
    <w:rsid w:val="00EC0826"/>
    <w:rsid w:val="00ED7F70"/>
    <w:rsid w:val="00EE0054"/>
    <w:rsid w:val="00EE6795"/>
    <w:rsid w:val="00EF2EB6"/>
    <w:rsid w:val="00EF38DE"/>
    <w:rsid w:val="00EF4BB3"/>
    <w:rsid w:val="00EF5269"/>
    <w:rsid w:val="00F05F98"/>
    <w:rsid w:val="00F11F03"/>
    <w:rsid w:val="00F13D97"/>
    <w:rsid w:val="00F174EA"/>
    <w:rsid w:val="00F2361A"/>
    <w:rsid w:val="00F24217"/>
    <w:rsid w:val="00F272ED"/>
    <w:rsid w:val="00F3122D"/>
    <w:rsid w:val="00F3524C"/>
    <w:rsid w:val="00F50149"/>
    <w:rsid w:val="00F527AD"/>
    <w:rsid w:val="00F54277"/>
    <w:rsid w:val="00F54CEB"/>
    <w:rsid w:val="00F7034A"/>
    <w:rsid w:val="00F73AAA"/>
    <w:rsid w:val="00F7412F"/>
    <w:rsid w:val="00F85939"/>
    <w:rsid w:val="00F86371"/>
    <w:rsid w:val="00F91316"/>
    <w:rsid w:val="00F96DDE"/>
    <w:rsid w:val="00FA1F10"/>
    <w:rsid w:val="00FB3095"/>
    <w:rsid w:val="00FB6314"/>
    <w:rsid w:val="00FB6B58"/>
    <w:rsid w:val="00FC1BC8"/>
    <w:rsid w:val="00FC398D"/>
    <w:rsid w:val="00FC41C6"/>
    <w:rsid w:val="00FC4EF9"/>
    <w:rsid w:val="00FD00B0"/>
    <w:rsid w:val="00FD1747"/>
    <w:rsid w:val="00FD1FAF"/>
    <w:rsid w:val="00FE2DBA"/>
    <w:rsid w:val="00FE3DA4"/>
    <w:rsid w:val="00FE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196B3"/>
  <w15:docId w15:val="{37504417-4A90-354C-8BAE-EC67403B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CC"/>
    <w:pPr>
      <w:ind w:left="720"/>
      <w:contextualSpacing/>
    </w:pPr>
  </w:style>
  <w:style w:type="paragraph" w:styleId="FootnoteText">
    <w:name w:val="footnote text"/>
    <w:basedOn w:val="Normal"/>
    <w:link w:val="FootnoteTextChar"/>
    <w:uiPriority w:val="99"/>
    <w:semiHidden/>
    <w:unhideWhenUsed/>
    <w:rsid w:val="00615E01"/>
    <w:rPr>
      <w:sz w:val="20"/>
      <w:szCs w:val="20"/>
    </w:rPr>
  </w:style>
  <w:style w:type="character" w:customStyle="1" w:styleId="FootnoteTextChar">
    <w:name w:val="Footnote Text Char"/>
    <w:basedOn w:val="DefaultParagraphFont"/>
    <w:link w:val="FootnoteText"/>
    <w:uiPriority w:val="99"/>
    <w:semiHidden/>
    <w:rsid w:val="00615E01"/>
    <w:rPr>
      <w:sz w:val="20"/>
      <w:szCs w:val="20"/>
    </w:rPr>
  </w:style>
  <w:style w:type="character" w:styleId="FootnoteReference">
    <w:name w:val="footnote reference"/>
    <w:basedOn w:val="DefaultParagraphFont"/>
    <w:uiPriority w:val="99"/>
    <w:semiHidden/>
    <w:unhideWhenUsed/>
    <w:rsid w:val="00615E01"/>
    <w:rPr>
      <w:vertAlign w:val="superscript"/>
    </w:rPr>
  </w:style>
  <w:style w:type="character" w:customStyle="1" w:styleId="apple-converted-space">
    <w:name w:val="apple-converted-space"/>
    <w:basedOn w:val="DefaultParagraphFont"/>
    <w:rsid w:val="00615E01"/>
  </w:style>
  <w:style w:type="character" w:styleId="Hyperlink">
    <w:name w:val="Hyperlink"/>
    <w:basedOn w:val="DefaultParagraphFont"/>
    <w:uiPriority w:val="99"/>
    <w:unhideWhenUsed/>
    <w:rsid w:val="00615E01"/>
    <w:rPr>
      <w:color w:val="0563C1" w:themeColor="hyperlink"/>
      <w:u w:val="single"/>
    </w:rPr>
  </w:style>
  <w:style w:type="character" w:customStyle="1" w:styleId="UnresolvedMention1">
    <w:name w:val="Unresolved Mention1"/>
    <w:basedOn w:val="DefaultParagraphFont"/>
    <w:uiPriority w:val="99"/>
    <w:semiHidden/>
    <w:unhideWhenUsed/>
    <w:rsid w:val="00615E01"/>
    <w:rPr>
      <w:color w:val="605E5C"/>
      <w:shd w:val="clear" w:color="auto" w:fill="E1DFDD"/>
    </w:rPr>
  </w:style>
  <w:style w:type="character" w:styleId="FollowedHyperlink">
    <w:name w:val="FollowedHyperlink"/>
    <w:basedOn w:val="DefaultParagraphFont"/>
    <w:uiPriority w:val="99"/>
    <w:semiHidden/>
    <w:unhideWhenUsed/>
    <w:rsid w:val="0049490A"/>
    <w:rPr>
      <w:color w:val="954F72" w:themeColor="followedHyperlink"/>
      <w:u w:val="single"/>
    </w:rPr>
  </w:style>
  <w:style w:type="paragraph" w:styleId="EndnoteText">
    <w:name w:val="endnote text"/>
    <w:basedOn w:val="Normal"/>
    <w:link w:val="EndnoteTextChar"/>
    <w:uiPriority w:val="99"/>
    <w:semiHidden/>
    <w:unhideWhenUsed/>
    <w:rsid w:val="008A761B"/>
    <w:rPr>
      <w:sz w:val="20"/>
      <w:szCs w:val="20"/>
    </w:rPr>
  </w:style>
  <w:style w:type="character" w:customStyle="1" w:styleId="EndnoteTextChar">
    <w:name w:val="Endnote Text Char"/>
    <w:basedOn w:val="DefaultParagraphFont"/>
    <w:link w:val="EndnoteText"/>
    <w:uiPriority w:val="99"/>
    <w:semiHidden/>
    <w:rsid w:val="008A761B"/>
    <w:rPr>
      <w:sz w:val="20"/>
      <w:szCs w:val="20"/>
    </w:rPr>
  </w:style>
  <w:style w:type="character" w:styleId="EndnoteReference">
    <w:name w:val="endnote reference"/>
    <w:basedOn w:val="DefaultParagraphFont"/>
    <w:uiPriority w:val="99"/>
    <w:semiHidden/>
    <w:unhideWhenUsed/>
    <w:rsid w:val="008A761B"/>
    <w:rPr>
      <w:vertAlign w:val="superscript"/>
    </w:rPr>
  </w:style>
  <w:style w:type="character" w:customStyle="1" w:styleId="reftext">
    <w:name w:val="reftext"/>
    <w:basedOn w:val="DefaultParagraphFont"/>
    <w:rsid w:val="006F53DA"/>
  </w:style>
  <w:style w:type="character" w:styleId="Emphasis">
    <w:name w:val="Emphasis"/>
    <w:basedOn w:val="DefaultParagraphFont"/>
    <w:uiPriority w:val="20"/>
    <w:qFormat/>
    <w:rsid w:val="00562EBA"/>
    <w:rPr>
      <w:i/>
      <w:iCs/>
    </w:rPr>
  </w:style>
  <w:style w:type="paragraph" w:styleId="HTMLPreformatted">
    <w:name w:val="HTML Preformatted"/>
    <w:basedOn w:val="Normal"/>
    <w:link w:val="HTMLPreformattedChar"/>
    <w:uiPriority w:val="99"/>
    <w:unhideWhenUsed/>
    <w:rsid w:val="00CF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F2C19"/>
    <w:rPr>
      <w:rFonts w:ascii="Courier New" w:eastAsia="Times New Roman" w:hAnsi="Courier New" w:cs="Courier New"/>
      <w:sz w:val="20"/>
      <w:szCs w:val="20"/>
    </w:rPr>
  </w:style>
  <w:style w:type="paragraph" w:styleId="NormalWeb">
    <w:name w:val="Normal (Web)"/>
    <w:basedOn w:val="Normal"/>
    <w:uiPriority w:val="99"/>
    <w:unhideWhenUsed/>
    <w:rsid w:val="00FC41C6"/>
    <w:pPr>
      <w:spacing w:before="100" w:beforeAutospacing="1" w:after="100" w:afterAutospacing="1"/>
    </w:pPr>
  </w:style>
  <w:style w:type="paragraph" w:styleId="Header">
    <w:name w:val="header"/>
    <w:basedOn w:val="Normal"/>
    <w:link w:val="HeaderChar"/>
    <w:uiPriority w:val="99"/>
    <w:unhideWhenUsed/>
    <w:rsid w:val="0008415E"/>
    <w:pPr>
      <w:tabs>
        <w:tab w:val="center" w:pos="4680"/>
        <w:tab w:val="right" w:pos="9360"/>
      </w:tabs>
    </w:pPr>
  </w:style>
  <w:style w:type="character" w:customStyle="1" w:styleId="HeaderChar">
    <w:name w:val="Header Char"/>
    <w:basedOn w:val="DefaultParagraphFont"/>
    <w:link w:val="Header"/>
    <w:uiPriority w:val="99"/>
    <w:rsid w:val="0008415E"/>
    <w:rPr>
      <w:rFonts w:ascii="Times New Roman" w:eastAsia="Times New Roman" w:hAnsi="Times New Roman" w:cs="Times New Roman"/>
    </w:rPr>
  </w:style>
  <w:style w:type="paragraph" w:styleId="Footer">
    <w:name w:val="footer"/>
    <w:basedOn w:val="Normal"/>
    <w:link w:val="FooterChar"/>
    <w:uiPriority w:val="99"/>
    <w:unhideWhenUsed/>
    <w:rsid w:val="0008415E"/>
    <w:pPr>
      <w:tabs>
        <w:tab w:val="center" w:pos="4680"/>
        <w:tab w:val="right" w:pos="9360"/>
      </w:tabs>
    </w:pPr>
  </w:style>
  <w:style w:type="character" w:customStyle="1" w:styleId="FooterChar">
    <w:name w:val="Footer Char"/>
    <w:basedOn w:val="DefaultParagraphFont"/>
    <w:link w:val="Footer"/>
    <w:uiPriority w:val="99"/>
    <w:rsid w:val="0008415E"/>
    <w:rPr>
      <w:rFonts w:ascii="Times New Roman" w:eastAsia="Times New Roman" w:hAnsi="Times New Roman" w:cs="Times New Roman"/>
    </w:rPr>
  </w:style>
  <w:style w:type="character" w:styleId="PageNumber">
    <w:name w:val="page number"/>
    <w:basedOn w:val="DefaultParagraphFont"/>
    <w:uiPriority w:val="99"/>
    <w:semiHidden/>
    <w:unhideWhenUsed/>
    <w:rsid w:val="0008415E"/>
  </w:style>
  <w:style w:type="character" w:styleId="CommentReference">
    <w:name w:val="annotation reference"/>
    <w:basedOn w:val="DefaultParagraphFont"/>
    <w:uiPriority w:val="99"/>
    <w:semiHidden/>
    <w:unhideWhenUsed/>
    <w:rsid w:val="00DE1803"/>
    <w:rPr>
      <w:sz w:val="16"/>
      <w:szCs w:val="16"/>
    </w:rPr>
  </w:style>
  <w:style w:type="paragraph" w:styleId="CommentText">
    <w:name w:val="annotation text"/>
    <w:basedOn w:val="Normal"/>
    <w:link w:val="CommentTextChar"/>
    <w:uiPriority w:val="99"/>
    <w:semiHidden/>
    <w:unhideWhenUsed/>
    <w:rsid w:val="00DE1803"/>
    <w:rPr>
      <w:sz w:val="20"/>
      <w:szCs w:val="20"/>
    </w:rPr>
  </w:style>
  <w:style w:type="character" w:customStyle="1" w:styleId="CommentTextChar">
    <w:name w:val="Comment Text Char"/>
    <w:basedOn w:val="DefaultParagraphFont"/>
    <w:link w:val="CommentText"/>
    <w:uiPriority w:val="99"/>
    <w:semiHidden/>
    <w:rsid w:val="00DE18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803"/>
    <w:rPr>
      <w:b/>
      <w:bCs/>
    </w:rPr>
  </w:style>
  <w:style w:type="character" w:customStyle="1" w:styleId="CommentSubjectChar">
    <w:name w:val="Comment Subject Char"/>
    <w:basedOn w:val="CommentTextChar"/>
    <w:link w:val="CommentSubject"/>
    <w:uiPriority w:val="99"/>
    <w:semiHidden/>
    <w:rsid w:val="00DE18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03"/>
    <w:rPr>
      <w:rFonts w:ascii="Segoe UI" w:eastAsia="Times New Roman" w:hAnsi="Segoe UI" w:cs="Segoe UI"/>
      <w:sz w:val="18"/>
      <w:szCs w:val="18"/>
    </w:rPr>
  </w:style>
  <w:style w:type="paragraph" w:styleId="Revision">
    <w:name w:val="Revision"/>
    <w:hidden/>
    <w:uiPriority w:val="99"/>
    <w:semiHidden/>
    <w:rsid w:val="00AC7CF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7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6034">
      <w:bodyDiv w:val="1"/>
      <w:marLeft w:val="0"/>
      <w:marRight w:val="0"/>
      <w:marTop w:val="0"/>
      <w:marBottom w:val="0"/>
      <w:divBdr>
        <w:top w:val="none" w:sz="0" w:space="0" w:color="auto"/>
        <w:left w:val="none" w:sz="0" w:space="0" w:color="auto"/>
        <w:bottom w:val="none" w:sz="0" w:space="0" w:color="auto"/>
        <w:right w:val="none" w:sz="0" w:space="0" w:color="auto"/>
      </w:divBdr>
      <w:divsChild>
        <w:div w:id="826166004">
          <w:marLeft w:val="0"/>
          <w:marRight w:val="0"/>
          <w:marTop w:val="0"/>
          <w:marBottom w:val="0"/>
          <w:divBdr>
            <w:top w:val="none" w:sz="0" w:space="0" w:color="auto"/>
            <w:left w:val="none" w:sz="0" w:space="0" w:color="auto"/>
            <w:bottom w:val="none" w:sz="0" w:space="0" w:color="auto"/>
            <w:right w:val="none" w:sz="0" w:space="0" w:color="auto"/>
          </w:divBdr>
          <w:divsChild>
            <w:div w:id="395128439">
              <w:marLeft w:val="0"/>
              <w:marRight w:val="0"/>
              <w:marTop w:val="0"/>
              <w:marBottom w:val="0"/>
              <w:divBdr>
                <w:top w:val="none" w:sz="0" w:space="0" w:color="auto"/>
                <w:left w:val="none" w:sz="0" w:space="0" w:color="auto"/>
                <w:bottom w:val="none" w:sz="0" w:space="0" w:color="auto"/>
                <w:right w:val="none" w:sz="0" w:space="0" w:color="auto"/>
              </w:divBdr>
              <w:divsChild>
                <w:div w:id="1594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3360">
      <w:bodyDiv w:val="1"/>
      <w:marLeft w:val="0"/>
      <w:marRight w:val="0"/>
      <w:marTop w:val="0"/>
      <w:marBottom w:val="0"/>
      <w:divBdr>
        <w:top w:val="none" w:sz="0" w:space="0" w:color="auto"/>
        <w:left w:val="none" w:sz="0" w:space="0" w:color="auto"/>
        <w:bottom w:val="none" w:sz="0" w:space="0" w:color="auto"/>
        <w:right w:val="none" w:sz="0" w:space="0" w:color="auto"/>
      </w:divBdr>
    </w:div>
    <w:div w:id="106656840">
      <w:bodyDiv w:val="1"/>
      <w:marLeft w:val="0"/>
      <w:marRight w:val="0"/>
      <w:marTop w:val="0"/>
      <w:marBottom w:val="0"/>
      <w:divBdr>
        <w:top w:val="none" w:sz="0" w:space="0" w:color="auto"/>
        <w:left w:val="none" w:sz="0" w:space="0" w:color="auto"/>
        <w:bottom w:val="none" w:sz="0" w:space="0" w:color="auto"/>
        <w:right w:val="none" w:sz="0" w:space="0" w:color="auto"/>
      </w:divBdr>
    </w:div>
    <w:div w:id="141391212">
      <w:bodyDiv w:val="1"/>
      <w:marLeft w:val="0"/>
      <w:marRight w:val="0"/>
      <w:marTop w:val="0"/>
      <w:marBottom w:val="0"/>
      <w:divBdr>
        <w:top w:val="none" w:sz="0" w:space="0" w:color="auto"/>
        <w:left w:val="none" w:sz="0" w:space="0" w:color="auto"/>
        <w:bottom w:val="none" w:sz="0" w:space="0" w:color="auto"/>
        <w:right w:val="none" w:sz="0" w:space="0" w:color="auto"/>
      </w:divBdr>
    </w:div>
    <w:div w:id="156309300">
      <w:bodyDiv w:val="1"/>
      <w:marLeft w:val="0"/>
      <w:marRight w:val="0"/>
      <w:marTop w:val="0"/>
      <w:marBottom w:val="0"/>
      <w:divBdr>
        <w:top w:val="none" w:sz="0" w:space="0" w:color="auto"/>
        <w:left w:val="none" w:sz="0" w:space="0" w:color="auto"/>
        <w:bottom w:val="none" w:sz="0" w:space="0" w:color="auto"/>
        <w:right w:val="none" w:sz="0" w:space="0" w:color="auto"/>
      </w:divBdr>
    </w:div>
    <w:div w:id="302272562">
      <w:bodyDiv w:val="1"/>
      <w:marLeft w:val="0"/>
      <w:marRight w:val="0"/>
      <w:marTop w:val="0"/>
      <w:marBottom w:val="0"/>
      <w:divBdr>
        <w:top w:val="none" w:sz="0" w:space="0" w:color="auto"/>
        <w:left w:val="none" w:sz="0" w:space="0" w:color="auto"/>
        <w:bottom w:val="none" w:sz="0" w:space="0" w:color="auto"/>
        <w:right w:val="none" w:sz="0" w:space="0" w:color="auto"/>
      </w:divBdr>
    </w:div>
    <w:div w:id="345644091">
      <w:bodyDiv w:val="1"/>
      <w:marLeft w:val="0"/>
      <w:marRight w:val="0"/>
      <w:marTop w:val="0"/>
      <w:marBottom w:val="0"/>
      <w:divBdr>
        <w:top w:val="none" w:sz="0" w:space="0" w:color="auto"/>
        <w:left w:val="none" w:sz="0" w:space="0" w:color="auto"/>
        <w:bottom w:val="none" w:sz="0" w:space="0" w:color="auto"/>
        <w:right w:val="none" w:sz="0" w:space="0" w:color="auto"/>
      </w:divBdr>
    </w:div>
    <w:div w:id="416944815">
      <w:bodyDiv w:val="1"/>
      <w:marLeft w:val="0"/>
      <w:marRight w:val="0"/>
      <w:marTop w:val="0"/>
      <w:marBottom w:val="0"/>
      <w:divBdr>
        <w:top w:val="none" w:sz="0" w:space="0" w:color="auto"/>
        <w:left w:val="none" w:sz="0" w:space="0" w:color="auto"/>
        <w:bottom w:val="none" w:sz="0" w:space="0" w:color="auto"/>
        <w:right w:val="none" w:sz="0" w:space="0" w:color="auto"/>
      </w:divBdr>
    </w:div>
    <w:div w:id="441149147">
      <w:bodyDiv w:val="1"/>
      <w:marLeft w:val="0"/>
      <w:marRight w:val="0"/>
      <w:marTop w:val="0"/>
      <w:marBottom w:val="0"/>
      <w:divBdr>
        <w:top w:val="none" w:sz="0" w:space="0" w:color="auto"/>
        <w:left w:val="none" w:sz="0" w:space="0" w:color="auto"/>
        <w:bottom w:val="none" w:sz="0" w:space="0" w:color="auto"/>
        <w:right w:val="none" w:sz="0" w:space="0" w:color="auto"/>
      </w:divBdr>
    </w:div>
    <w:div w:id="494536131">
      <w:bodyDiv w:val="1"/>
      <w:marLeft w:val="0"/>
      <w:marRight w:val="0"/>
      <w:marTop w:val="0"/>
      <w:marBottom w:val="0"/>
      <w:divBdr>
        <w:top w:val="none" w:sz="0" w:space="0" w:color="auto"/>
        <w:left w:val="none" w:sz="0" w:space="0" w:color="auto"/>
        <w:bottom w:val="none" w:sz="0" w:space="0" w:color="auto"/>
        <w:right w:val="none" w:sz="0" w:space="0" w:color="auto"/>
      </w:divBdr>
    </w:div>
    <w:div w:id="615216198">
      <w:bodyDiv w:val="1"/>
      <w:marLeft w:val="0"/>
      <w:marRight w:val="0"/>
      <w:marTop w:val="0"/>
      <w:marBottom w:val="0"/>
      <w:divBdr>
        <w:top w:val="none" w:sz="0" w:space="0" w:color="auto"/>
        <w:left w:val="none" w:sz="0" w:space="0" w:color="auto"/>
        <w:bottom w:val="none" w:sz="0" w:space="0" w:color="auto"/>
        <w:right w:val="none" w:sz="0" w:space="0" w:color="auto"/>
      </w:divBdr>
    </w:div>
    <w:div w:id="625813722">
      <w:bodyDiv w:val="1"/>
      <w:marLeft w:val="0"/>
      <w:marRight w:val="0"/>
      <w:marTop w:val="0"/>
      <w:marBottom w:val="0"/>
      <w:divBdr>
        <w:top w:val="none" w:sz="0" w:space="0" w:color="auto"/>
        <w:left w:val="none" w:sz="0" w:space="0" w:color="auto"/>
        <w:bottom w:val="none" w:sz="0" w:space="0" w:color="auto"/>
        <w:right w:val="none" w:sz="0" w:space="0" w:color="auto"/>
      </w:divBdr>
    </w:div>
    <w:div w:id="653921791">
      <w:bodyDiv w:val="1"/>
      <w:marLeft w:val="0"/>
      <w:marRight w:val="0"/>
      <w:marTop w:val="0"/>
      <w:marBottom w:val="0"/>
      <w:divBdr>
        <w:top w:val="none" w:sz="0" w:space="0" w:color="auto"/>
        <w:left w:val="none" w:sz="0" w:space="0" w:color="auto"/>
        <w:bottom w:val="none" w:sz="0" w:space="0" w:color="auto"/>
        <w:right w:val="none" w:sz="0" w:space="0" w:color="auto"/>
      </w:divBdr>
    </w:div>
    <w:div w:id="692614704">
      <w:bodyDiv w:val="1"/>
      <w:marLeft w:val="0"/>
      <w:marRight w:val="0"/>
      <w:marTop w:val="0"/>
      <w:marBottom w:val="0"/>
      <w:divBdr>
        <w:top w:val="none" w:sz="0" w:space="0" w:color="auto"/>
        <w:left w:val="none" w:sz="0" w:space="0" w:color="auto"/>
        <w:bottom w:val="none" w:sz="0" w:space="0" w:color="auto"/>
        <w:right w:val="none" w:sz="0" w:space="0" w:color="auto"/>
      </w:divBdr>
    </w:div>
    <w:div w:id="831063015">
      <w:bodyDiv w:val="1"/>
      <w:marLeft w:val="0"/>
      <w:marRight w:val="0"/>
      <w:marTop w:val="0"/>
      <w:marBottom w:val="0"/>
      <w:divBdr>
        <w:top w:val="none" w:sz="0" w:space="0" w:color="auto"/>
        <w:left w:val="none" w:sz="0" w:space="0" w:color="auto"/>
        <w:bottom w:val="none" w:sz="0" w:space="0" w:color="auto"/>
        <w:right w:val="none" w:sz="0" w:space="0" w:color="auto"/>
      </w:divBdr>
    </w:div>
    <w:div w:id="833490806">
      <w:bodyDiv w:val="1"/>
      <w:marLeft w:val="0"/>
      <w:marRight w:val="0"/>
      <w:marTop w:val="0"/>
      <w:marBottom w:val="0"/>
      <w:divBdr>
        <w:top w:val="none" w:sz="0" w:space="0" w:color="auto"/>
        <w:left w:val="none" w:sz="0" w:space="0" w:color="auto"/>
        <w:bottom w:val="none" w:sz="0" w:space="0" w:color="auto"/>
        <w:right w:val="none" w:sz="0" w:space="0" w:color="auto"/>
      </w:divBdr>
    </w:div>
    <w:div w:id="892885541">
      <w:bodyDiv w:val="1"/>
      <w:marLeft w:val="0"/>
      <w:marRight w:val="0"/>
      <w:marTop w:val="0"/>
      <w:marBottom w:val="0"/>
      <w:divBdr>
        <w:top w:val="none" w:sz="0" w:space="0" w:color="auto"/>
        <w:left w:val="none" w:sz="0" w:space="0" w:color="auto"/>
        <w:bottom w:val="none" w:sz="0" w:space="0" w:color="auto"/>
        <w:right w:val="none" w:sz="0" w:space="0" w:color="auto"/>
      </w:divBdr>
    </w:div>
    <w:div w:id="913128869">
      <w:bodyDiv w:val="1"/>
      <w:marLeft w:val="0"/>
      <w:marRight w:val="0"/>
      <w:marTop w:val="0"/>
      <w:marBottom w:val="0"/>
      <w:divBdr>
        <w:top w:val="none" w:sz="0" w:space="0" w:color="auto"/>
        <w:left w:val="none" w:sz="0" w:space="0" w:color="auto"/>
        <w:bottom w:val="none" w:sz="0" w:space="0" w:color="auto"/>
        <w:right w:val="none" w:sz="0" w:space="0" w:color="auto"/>
      </w:divBdr>
    </w:div>
    <w:div w:id="951980423">
      <w:bodyDiv w:val="1"/>
      <w:marLeft w:val="0"/>
      <w:marRight w:val="0"/>
      <w:marTop w:val="0"/>
      <w:marBottom w:val="0"/>
      <w:divBdr>
        <w:top w:val="none" w:sz="0" w:space="0" w:color="auto"/>
        <w:left w:val="none" w:sz="0" w:space="0" w:color="auto"/>
        <w:bottom w:val="none" w:sz="0" w:space="0" w:color="auto"/>
        <w:right w:val="none" w:sz="0" w:space="0" w:color="auto"/>
      </w:divBdr>
      <w:divsChild>
        <w:div w:id="1808819655">
          <w:marLeft w:val="0"/>
          <w:marRight w:val="0"/>
          <w:marTop w:val="0"/>
          <w:marBottom w:val="0"/>
          <w:divBdr>
            <w:top w:val="none" w:sz="0" w:space="0" w:color="auto"/>
            <w:left w:val="none" w:sz="0" w:space="0" w:color="auto"/>
            <w:bottom w:val="none" w:sz="0" w:space="0" w:color="auto"/>
            <w:right w:val="none" w:sz="0" w:space="0" w:color="auto"/>
          </w:divBdr>
          <w:divsChild>
            <w:div w:id="1681615228">
              <w:marLeft w:val="0"/>
              <w:marRight w:val="0"/>
              <w:marTop w:val="0"/>
              <w:marBottom w:val="0"/>
              <w:divBdr>
                <w:top w:val="none" w:sz="0" w:space="0" w:color="auto"/>
                <w:left w:val="none" w:sz="0" w:space="0" w:color="auto"/>
                <w:bottom w:val="none" w:sz="0" w:space="0" w:color="auto"/>
                <w:right w:val="none" w:sz="0" w:space="0" w:color="auto"/>
              </w:divBdr>
              <w:divsChild>
                <w:div w:id="1004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59831">
      <w:bodyDiv w:val="1"/>
      <w:marLeft w:val="0"/>
      <w:marRight w:val="0"/>
      <w:marTop w:val="0"/>
      <w:marBottom w:val="0"/>
      <w:divBdr>
        <w:top w:val="none" w:sz="0" w:space="0" w:color="auto"/>
        <w:left w:val="none" w:sz="0" w:space="0" w:color="auto"/>
        <w:bottom w:val="none" w:sz="0" w:space="0" w:color="auto"/>
        <w:right w:val="none" w:sz="0" w:space="0" w:color="auto"/>
      </w:divBdr>
    </w:div>
    <w:div w:id="970785628">
      <w:bodyDiv w:val="1"/>
      <w:marLeft w:val="0"/>
      <w:marRight w:val="0"/>
      <w:marTop w:val="0"/>
      <w:marBottom w:val="0"/>
      <w:divBdr>
        <w:top w:val="none" w:sz="0" w:space="0" w:color="auto"/>
        <w:left w:val="none" w:sz="0" w:space="0" w:color="auto"/>
        <w:bottom w:val="none" w:sz="0" w:space="0" w:color="auto"/>
        <w:right w:val="none" w:sz="0" w:space="0" w:color="auto"/>
      </w:divBdr>
    </w:div>
    <w:div w:id="1010838015">
      <w:bodyDiv w:val="1"/>
      <w:marLeft w:val="0"/>
      <w:marRight w:val="0"/>
      <w:marTop w:val="0"/>
      <w:marBottom w:val="0"/>
      <w:divBdr>
        <w:top w:val="none" w:sz="0" w:space="0" w:color="auto"/>
        <w:left w:val="none" w:sz="0" w:space="0" w:color="auto"/>
        <w:bottom w:val="none" w:sz="0" w:space="0" w:color="auto"/>
        <w:right w:val="none" w:sz="0" w:space="0" w:color="auto"/>
      </w:divBdr>
    </w:div>
    <w:div w:id="1071193599">
      <w:bodyDiv w:val="1"/>
      <w:marLeft w:val="0"/>
      <w:marRight w:val="0"/>
      <w:marTop w:val="0"/>
      <w:marBottom w:val="0"/>
      <w:divBdr>
        <w:top w:val="none" w:sz="0" w:space="0" w:color="auto"/>
        <w:left w:val="none" w:sz="0" w:space="0" w:color="auto"/>
        <w:bottom w:val="none" w:sz="0" w:space="0" w:color="auto"/>
        <w:right w:val="none" w:sz="0" w:space="0" w:color="auto"/>
      </w:divBdr>
    </w:div>
    <w:div w:id="1155688464">
      <w:bodyDiv w:val="1"/>
      <w:marLeft w:val="0"/>
      <w:marRight w:val="0"/>
      <w:marTop w:val="0"/>
      <w:marBottom w:val="0"/>
      <w:divBdr>
        <w:top w:val="none" w:sz="0" w:space="0" w:color="auto"/>
        <w:left w:val="none" w:sz="0" w:space="0" w:color="auto"/>
        <w:bottom w:val="none" w:sz="0" w:space="0" w:color="auto"/>
        <w:right w:val="none" w:sz="0" w:space="0" w:color="auto"/>
      </w:divBdr>
    </w:div>
    <w:div w:id="1172258616">
      <w:bodyDiv w:val="1"/>
      <w:marLeft w:val="0"/>
      <w:marRight w:val="0"/>
      <w:marTop w:val="0"/>
      <w:marBottom w:val="0"/>
      <w:divBdr>
        <w:top w:val="none" w:sz="0" w:space="0" w:color="auto"/>
        <w:left w:val="none" w:sz="0" w:space="0" w:color="auto"/>
        <w:bottom w:val="none" w:sz="0" w:space="0" w:color="auto"/>
        <w:right w:val="none" w:sz="0" w:space="0" w:color="auto"/>
      </w:divBdr>
    </w:div>
    <w:div w:id="1185435253">
      <w:bodyDiv w:val="1"/>
      <w:marLeft w:val="0"/>
      <w:marRight w:val="0"/>
      <w:marTop w:val="0"/>
      <w:marBottom w:val="0"/>
      <w:divBdr>
        <w:top w:val="none" w:sz="0" w:space="0" w:color="auto"/>
        <w:left w:val="none" w:sz="0" w:space="0" w:color="auto"/>
        <w:bottom w:val="none" w:sz="0" w:space="0" w:color="auto"/>
        <w:right w:val="none" w:sz="0" w:space="0" w:color="auto"/>
      </w:divBdr>
    </w:div>
    <w:div w:id="1225411629">
      <w:bodyDiv w:val="1"/>
      <w:marLeft w:val="0"/>
      <w:marRight w:val="0"/>
      <w:marTop w:val="0"/>
      <w:marBottom w:val="0"/>
      <w:divBdr>
        <w:top w:val="none" w:sz="0" w:space="0" w:color="auto"/>
        <w:left w:val="none" w:sz="0" w:space="0" w:color="auto"/>
        <w:bottom w:val="none" w:sz="0" w:space="0" w:color="auto"/>
        <w:right w:val="none" w:sz="0" w:space="0" w:color="auto"/>
      </w:divBdr>
    </w:div>
    <w:div w:id="1231572583">
      <w:bodyDiv w:val="1"/>
      <w:marLeft w:val="0"/>
      <w:marRight w:val="0"/>
      <w:marTop w:val="0"/>
      <w:marBottom w:val="0"/>
      <w:divBdr>
        <w:top w:val="none" w:sz="0" w:space="0" w:color="auto"/>
        <w:left w:val="none" w:sz="0" w:space="0" w:color="auto"/>
        <w:bottom w:val="none" w:sz="0" w:space="0" w:color="auto"/>
        <w:right w:val="none" w:sz="0" w:space="0" w:color="auto"/>
      </w:divBdr>
    </w:div>
    <w:div w:id="1232227933">
      <w:bodyDiv w:val="1"/>
      <w:marLeft w:val="0"/>
      <w:marRight w:val="0"/>
      <w:marTop w:val="0"/>
      <w:marBottom w:val="0"/>
      <w:divBdr>
        <w:top w:val="none" w:sz="0" w:space="0" w:color="auto"/>
        <w:left w:val="none" w:sz="0" w:space="0" w:color="auto"/>
        <w:bottom w:val="none" w:sz="0" w:space="0" w:color="auto"/>
        <w:right w:val="none" w:sz="0" w:space="0" w:color="auto"/>
      </w:divBdr>
    </w:div>
    <w:div w:id="1234511418">
      <w:bodyDiv w:val="1"/>
      <w:marLeft w:val="0"/>
      <w:marRight w:val="0"/>
      <w:marTop w:val="0"/>
      <w:marBottom w:val="0"/>
      <w:divBdr>
        <w:top w:val="none" w:sz="0" w:space="0" w:color="auto"/>
        <w:left w:val="none" w:sz="0" w:space="0" w:color="auto"/>
        <w:bottom w:val="none" w:sz="0" w:space="0" w:color="auto"/>
        <w:right w:val="none" w:sz="0" w:space="0" w:color="auto"/>
      </w:divBdr>
    </w:div>
    <w:div w:id="1267275069">
      <w:bodyDiv w:val="1"/>
      <w:marLeft w:val="0"/>
      <w:marRight w:val="0"/>
      <w:marTop w:val="0"/>
      <w:marBottom w:val="0"/>
      <w:divBdr>
        <w:top w:val="none" w:sz="0" w:space="0" w:color="auto"/>
        <w:left w:val="none" w:sz="0" w:space="0" w:color="auto"/>
        <w:bottom w:val="none" w:sz="0" w:space="0" w:color="auto"/>
        <w:right w:val="none" w:sz="0" w:space="0" w:color="auto"/>
      </w:divBdr>
      <w:divsChild>
        <w:div w:id="698361687">
          <w:marLeft w:val="0"/>
          <w:marRight w:val="0"/>
          <w:marTop w:val="0"/>
          <w:marBottom w:val="0"/>
          <w:divBdr>
            <w:top w:val="none" w:sz="0" w:space="0" w:color="auto"/>
            <w:left w:val="none" w:sz="0" w:space="0" w:color="auto"/>
            <w:bottom w:val="none" w:sz="0" w:space="0" w:color="auto"/>
            <w:right w:val="none" w:sz="0" w:space="0" w:color="auto"/>
          </w:divBdr>
          <w:divsChild>
            <w:div w:id="168644528">
              <w:marLeft w:val="0"/>
              <w:marRight w:val="0"/>
              <w:marTop w:val="0"/>
              <w:marBottom w:val="0"/>
              <w:divBdr>
                <w:top w:val="none" w:sz="0" w:space="0" w:color="auto"/>
                <w:left w:val="none" w:sz="0" w:space="0" w:color="auto"/>
                <w:bottom w:val="none" w:sz="0" w:space="0" w:color="auto"/>
                <w:right w:val="none" w:sz="0" w:space="0" w:color="auto"/>
              </w:divBdr>
              <w:divsChild>
                <w:div w:id="1888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6841">
      <w:bodyDiv w:val="1"/>
      <w:marLeft w:val="0"/>
      <w:marRight w:val="0"/>
      <w:marTop w:val="0"/>
      <w:marBottom w:val="0"/>
      <w:divBdr>
        <w:top w:val="none" w:sz="0" w:space="0" w:color="auto"/>
        <w:left w:val="none" w:sz="0" w:space="0" w:color="auto"/>
        <w:bottom w:val="none" w:sz="0" w:space="0" w:color="auto"/>
        <w:right w:val="none" w:sz="0" w:space="0" w:color="auto"/>
      </w:divBdr>
    </w:div>
    <w:div w:id="1354530069">
      <w:bodyDiv w:val="1"/>
      <w:marLeft w:val="0"/>
      <w:marRight w:val="0"/>
      <w:marTop w:val="0"/>
      <w:marBottom w:val="0"/>
      <w:divBdr>
        <w:top w:val="none" w:sz="0" w:space="0" w:color="auto"/>
        <w:left w:val="none" w:sz="0" w:space="0" w:color="auto"/>
        <w:bottom w:val="none" w:sz="0" w:space="0" w:color="auto"/>
        <w:right w:val="none" w:sz="0" w:space="0" w:color="auto"/>
      </w:divBdr>
      <w:divsChild>
        <w:div w:id="1055658731">
          <w:marLeft w:val="0"/>
          <w:marRight w:val="0"/>
          <w:marTop w:val="0"/>
          <w:marBottom w:val="0"/>
          <w:divBdr>
            <w:top w:val="none" w:sz="0" w:space="0" w:color="auto"/>
            <w:left w:val="none" w:sz="0" w:space="0" w:color="auto"/>
            <w:bottom w:val="none" w:sz="0" w:space="0" w:color="auto"/>
            <w:right w:val="none" w:sz="0" w:space="0" w:color="auto"/>
          </w:divBdr>
          <w:divsChild>
            <w:div w:id="1389576859">
              <w:marLeft w:val="0"/>
              <w:marRight w:val="0"/>
              <w:marTop w:val="0"/>
              <w:marBottom w:val="0"/>
              <w:divBdr>
                <w:top w:val="none" w:sz="0" w:space="0" w:color="auto"/>
                <w:left w:val="none" w:sz="0" w:space="0" w:color="auto"/>
                <w:bottom w:val="none" w:sz="0" w:space="0" w:color="auto"/>
                <w:right w:val="none" w:sz="0" w:space="0" w:color="auto"/>
              </w:divBdr>
              <w:divsChild>
                <w:div w:id="1941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1249">
      <w:bodyDiv w:val="1"/>
      <w:marLeft w:val="0"/>
      <w:marRight w:val="0"/>
      <w:marTop w:val="0"/>
      <w:marBottom w:val="0"/>
      <w:divBdr>
        <w:top w:val="none" w:sz="0" w:space="0" w:color="auto"/>
        <w:left w:val="none" w:sz="0" w:space="0" w:color="auto"/>
        <w:bottom w:val="none" w:sz="0" w:space="0" w:color="auto"/>
        <w:right w:val="none" w:sz="0" w:space="0" w:color="auto"/>
      </w:divBdr>
    </w:div>
    <w:div w:id="1472285247">
      <w:bodyDiv w:val="1"/>
      <w:marLeft w:val="0"/>
      <w:marRight w:val="0"/>
      <w:marTop w:val="0"/>
      <w:marBottom w:val="0"/>
      <w:divBdr>
        <w:top w:val="none" w:sz="0" w:space="0" w:color="auto"/>
        <w:left w:val="none" w:sz="0" w:space="0" w:color="auto"/>
        <w:bottom w:val="none" w:sz="0" w:space="0" w:color="auto"/>
        <w:right w:val="none" w:sz="0" w:space="0" w:color="auto"/>
      </w:divBdr>
      <w:divsChild>
        <w:div w:id="511408822">
          <w:marLeft w:val="0"/>
          <w:marRight w:val="0"/>
          <w:marTop w:val="0"/>
          <w:marBottom w:val="0"/>
          <w:divBdr>
            <w:top w:val="none" w:sz="0" w:space="0" w:color="auto"/>
            <w:left w:val="none" w:sz="0" w:space="0" w:color="auto"/>
            <w:bottom w:val="none" w:sz="0" w:space="0" w:color="auto"/>
            <w:right w:val="none" w:sz="0" w:space="0" w:color="auto"/>
          </w:divBdr>
          <w:divsChild>
            <w:div w:id="556553873">
              <w:marLeft w:val="0"/>
              <w:marRight w:val="0"/>
              <w:marTop w:val="0"/>
              <w:marBottom w:val="0"/>
              <w:divBdr>
                <w:top w:val="none" w:sz="0" w:space="0" w:color="auto"/>
                <w:left w:val="none" w:sz="0" w:space="0" w:color="auto"/>
                <w:bottom w:val="none" w:sz="0" w:space="0" w:color="auto"/>
                <w:right w:val="none" w:sz="0" w:space="0" w:color="auto"/>
              </w:divBdr>
              <w:divsChild>
                <w:div w:id="2001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1513">
      <w:bodyDiv w:val="1"/>
      <w:marLeft w:val="0"/>
      <w:marRight w:val="0"/>
      <w:marTop w:val="0"/>
      <w:marBottom w:val="0"/>
      <w:divBdr>
        <w:top w:val="none" w:sz="0" w:space="0" w:color="auto"/>
        <w:left w:val="none" w:sz="0" w:space="0" w:color="auto"/>
        <w:bottom w:val="none" w:sz="0" w:space="0" w:color="auto"/>
        <w:right w:val="none" w:sz="0" w:space="0" w:color="auto"/>
      </w:divBdr>
    </w:div>
    <w:div w:id="1909144957">
      <w:bodyDiv w:val="1"/>
      <w:marLeft w:val="0"/>
      <w:marRight w:val="0"/>
      <w:marTop w:val="0"/>
      <w:marBottom w:val="0"/>
      <w:divBdr>
        <w:top w:val="none" w:sz="0" w:space="0" w:color="auto"/>
        <w:left w:val="none" w:sz="0" w:space="0" w:color="auto"/>
        <w:bottom w:val="none" w:sz="0" w:space="0" w:color="auto"/>
        <w:right w:val="none" w:sz="0" w:space="0" w:color="auto"/>
      </w:divBdr>
    </w:div>
    <w:div w:id="2026978473">
      <w:bodyDiv w:val="1"/>
      <w:marLeft w:val="0"/>
      <w:marRight w:val="0"/>
      <w:marTop w:val="0"/>
      <w:marBottom w:val="0"/>
      <w:divBdr>
        <w:top w:val="none" w:sz="0" w:space="0" w:color="auto"/>
        <w:left w:val="none" w:sz="0" w:space="0" w:color="auto"/>
        <w:bottom w:val="none" w:sz="0" w:space="0" w:color="auto"/>
        <w:right w:val="none" w:sz="0" w:space="0" w:color="auto"/>
      </w:divBdr>
    </w:div>
    <w:div w:id="2030330507">
      <w:bodyDiv w:val="1"/>
      <w:marLeft w:val="0"/>
      <w:marRight w:val="0"/>
      <w:marTop w:val="0"/>
      <w:marBottom w:val="0"/>
      <w:divBdr>
        <w:top w:val="none" w:sz="0" w:space="0" w:color="auto"/>
        <w:left w:val="none" w:sz="0" w:space="0" w:color="auto"/>
        <w:bottom w:val="none" w:sz="0" w:space="0" w:color="auto"/>
        <w:right w:val="none" w:sz="0" w:space="0" w:color="auto"/>
      </w:divBdr>
    </w:div>
    <w:div w:id="2113352859">
      <w:bodyDiv w:val="1"/>
      <w:marLeft w:val="0"/>
      <w:marRight w:val="0"/>
      <w:marTop w:val="0"/>
      <w:marBottom w:val="0"/>
      <w:divBdr>
        <w:top w:val="none" w:sz="0" w:space="0" w:color="auto"/>
        <w:left w:val="none" w:sz="0" w:space="0" w:color="auto"/>
        <w:bottom w:val="none" w:sz="0" w:space="0" w:color="auto"/>
        <w:right w:val="none" w:sz="0" w:space="0" w:color="auto"/>
      </w:divBdr>
    </w:div>
    <w:div w:id="2123840375">
      <w:bodyDiv w:val="1"/>
      <w:marLeft w:val="0"/>
      <w:marRight w:val="0"/>
      <w:marTop w:val="0"/>
      <w:marBottom w:val="0"/>
      <w:divBdr>
        <w:top w:val="none" w:sz="0" w:space="0" w:color="auto"/>
        <w:left w:val="none" w:sz="0" w:space="0" w:color="auto"/>
        <w:bottom w:val="none" w:sz="0" w:space="0" w:color="auto"/>
        <w:right w:val="none" w:sz="0" w:space="0" w:color="auto"/>
      </w:divBdr>
      <w:divsChild>
        <w:div w:id="445780770">
          <w:marLeft w:val="0"/>
          <w:marRight w:val="0"/>
          <w:marTop w:val="0"/>
          <w:marBottom w:val="0"/>
          <w:divBdr>
            <w:top w:val="none" w:sz="0" w:space="0" w:color="auto"/>
            <w:left w:val="none" w:sz="0" w:space="0" w:color="auto"/>
            <w:bottom w:val="none" w:sz="0" w:space="0" w:color="auto"/>
            <w:right w:val="none" w:sz="0" w:space="0" w:color="auto"/>
          </w:divBdr>
          <w:divsChild>
            <w:div w:id="1090198597">
              <w:marLeft w:val="0"/>
              <w:marRight w:val="0"/>
              <w:marTop w:val="0"/>
              <w:marBottom w:val="0"/>
              <w:divBdr>
                <w:top w:val="none" w:sz="0" w:space="0" w:color="auto"/>
                <w:left w:val="none" w:sz="0" w:space="0" w:color="auto"/>
                <w:bottom w:val="none" w:sz="0" w:space="0" w:color="auto"/>
                <w:right w:val="none" w:sz="0" w:space="0" w:color="auto"/>
              </w:divBdr>
              <w:divsChild>
                <w:div w:id="138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48F2BE-4B6F-BE44-BE2D-6C5D024E302F}">
  <we:reference id="wa104380757" version="1.0.0.0" store="en-US" storeType="OMEX"/>
  <we:alternateReferences>
    <we:reference id="wa10438075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7A0A5B-39B9-AF46-96F4-007A6388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2019-05-15T19:55:00Z</dcterms:created>
  <dcterms:modified xsi:type="dcterms:W3CDTF">2019-05-16T01:13:00Z</dcterms:modified>
</cp:coreProperties>
</file>